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14" w:rsidRPr="003B1614" w:rsidRDefault="003B1614" w:rsidP="00192A82">
      <w:pPr>
        <w:keepNext/>
        <w:keepLines/>
        <w:pageBreakBefore/>
        <w:spacing w:after="240" w:line="276" w:lineRule="auto"/>
        <w:ind w:firstLine="708"/>
        <w:jc w:val="both"/>
        <w:outlineLvl w:val="0"/>
        <w:rPr>
          <w:rFonts w:ascii="Times New Roman" w:eastAsiaTheme="majorEastAsia" w:hAnsi="Times New Roman" w:cstheme="majorBidi"/>
          <w:b/>
          <w:sz w:val="32"/>
          <w:szCs w:val="26"/>
        </w:rPr>
      </w:pPr>
      <w:bookmarkStart w:id="0" w:name="_Toc526843006"/>
      <w:r w:rsidRPr="003B1614">
        <w:rPr>
          <w:rFonts w:ascii="Times New Roman" w:eastAsiaTheme="majorEastAsia" w:hAnsi="Times New Roman" w:cstheme="majorBidi"/>
          <w:b/>
          <w:sz w:val="32"/>
          <w:szCs w:val="26"/>
        </w:rPr>
        <w:t>Вопросы для участников рынка</w:t>
      </w:r>
      <w:bookmarkEnd w:id="0"/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 xml:space="preserve">Какие RegTech-инициативы вы реализуете (или планируете реализовать) в вашей организации? </w:t>
      </w:r>
      <w:r w:rsidRPr="003B1614">
        <w:rPr>
          <w:rFonts w:ascii="Times New Roman" w:hAnsi="Times New Roman" w:cs="Times New Roman"/>
          <w:i/>
          <w:sz w:val="26"/>
          <w:szCs w:val="26"/>
        </w:rPr>
        <w:t xml:space="preserve">(Ответ заполняется </w:t>
      </w:r>
      <w:r w:rsidR="00A254E9">
        <w:rPr>
          <w:rFonts w:ascii="Times New Roman" w:hAnsi="Times New Roman" w:cs="Times New Roman"/>
          <w:i/>
          <w:sz w:val="26"/>
          <w:szCs w:val="26"/>
        </w:rPr>
        <w:br/>
      </w:r>
      <w:r w:rsidRPr="003B1614">
        <w:rPr>
          <w:rFonts w:ascii="Times New Roman" w:hAnsi="Times New Roman" w:cs="Times New Roman"/>
          <w:i/>
          <w:sz w:val="26"/>
          <w:szCs w:val="26"/>
        </w:rPr>
        <w:t>в Таблице 1, максимально развернуто)</w:t>
      </w:r>
      <w:r w:rsidRPr="003B1614">
        <w:rPr>
          <w:rFonts w:ascii="Times New Roman" w:hAnsi="Times New Roman" w:cs="Times New Roman"/>
          <w:sz w:val="26"/>
          <w:szCs w:val="26"/>
        </w:rPr>
        <w:t>.</w:t>
      </w:r>
    </w:p>
    <w:p w:rsidR="00B15655" w:rsidRPr="003B1614" w:rsidRDefault="00B15655" w:rsidP="004F16F0">
      <w:pPr>
        <w:spacing w:before="240" w:after="24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B1614">
        <w:rPr>
          <w:rFonts w:ascii="Times New Roman" w:hAnsi="Times New Roman" w:cs="Times New Roman"/>
          <w:b/>
          <w:sz w:val="26"/>
          <w:szCs w:val="26"/>
        </w:rPr>
        <w:t xml:space="preserve">Таблица 1. Проекты и инициативы вашей организации в сфере </w:t>
      </w:r>
      <w:r w:rsidRPr="003B1614">
        <w:rPr>
          <w:rFonts w:ascii="Times New Roman" w:hAnsi="Times New Roman" w:cs="Times New Roman"/>
          <w:b/>
          <w:sz w:val="26"/>
          <w:szCs w:val="26"/>
          <w:lang w:val="en-US"/>
        </w:rPr>
        <w:t>RegTech</w:t>
      </w:r>
      <w:r w:rsidRPr="003B1614">
        <w:rPr>
          <w:rFonts w:ascii="Times New Roman" w:hAnsi="Times New Roman" w:cs="Times New Roman"/>
          <w:b/>
          <w:sz w:val="26"/>
          <w:szCs w:val="26"/>
        </w:rPr>
        <w:t>, процессы в рамках надзора и контроля соответствия регуляторным требованиям, которые целесообразно трансформировать</w:t>
      </w:r>
    </w:p>
    <w:tbl>
      <w:tblPr>
        <w:tblStyle w:val="TableGrid1"/>
        <w:tblW w:w="51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"/>
        <w:gridCol w:w="1339"/>
        <w:gridCol w:w="1913"/>
        <w:gridCol w:w="1871"/>
        <w:gridCol w:w="1871"/>
        <w:gridCol w:w="1829"/>
        <w:gridCol w:w="1617"/>
        <w:gridCol w:w="2170"/>
        <w:gridCol w:w="2155"/>
      </w:tblGrid>
      <w:tr w:rsidR="00DC045D" w:rsidRPr="003B1614" w:rsidTr="00DC045D">
        <w:trPr>
          <w:trHeight w:val="964"/>
          <w:tblHeader/>
        </w:trPr>
        <w:tc>
          <w:tcPr>
            <w:tcW w:w="11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43" w:type="pct"/>
            <w:hideMark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Проект </w:t>
            </w: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инициатива</w:t>
            </w:r>
          </w:p>
        </w:tc>
        <w:tc>
          <w:tcPr>
            <w:tcW w:w="633" w:type="pct"/>
            <w:hideMark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Первоначальный </w:t>
            </w: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/ </w:t>
            </w: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процесс</w:t>
            </w:r>
          </w:p>
        </w:tc>
        <w:tc>
          <w:tcPr>
            <w:tcW w:w="619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Нормы действующих</w:t>
            </w:r>
          </w:p>
          <w:p w:rsidR="00B15655" w:rsidRPr="003B1614" w:rsidRDefault="00B15655" w:rsidP="005D1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нормативных (правовых) актов (НПА)</w:t>
            </w:r>
          </w:p>
        </w:tc>
        <w:tc>
          <w:tcPr>
            <w:tcW w:w="619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Текущий </w:t>
            </w: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/ </w:t>
            </w: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перспективный процесс</w:t>
            </w:r>
          </w:p>
        </w:tc>
        <w:tc>
          <w:tcPr>
            <w:tcW w:w="60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Финансовый эффект</w:t>
            </w:r>
          </w:p>
        </w:tc>
        <w:tc>
          <w:tcPr>
            <w:tcW w:w="53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Нефинансовый эффект</w:t>
            </w:r>
          </w:p>
        </w:tc>
        <w:tc>
          <w:tcPr>
            <w:tcW w:w="718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Стадия реализации</w:t>
            </w:r>
          </w:p>
        </w:tc>
        <w:tc>
          <w:tcPr>
            <w:tcW w:w="714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реализации</w:t>
            </w:r>
          </w:p>
        </w:tc>
      </w:tr>
      <w:tr w:rsidR="00DC045D" w:rsidRPr="003B1614" w:rsidTr="00DC045D">
        <w:trPr>
          <w:trHeight w:val="584"/>
        </w:trPr>
        <w:tc>
          <w:tcPr>
            <w:tcW w:w="11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>Описание текущей реализации бизнес-процессов и технологий с описанием шагов, которые целесообразно пересмотреть, и указанием неэффективности и возможностей развития</w:t>
            </w:r>
          </w:p>
        </w:tc>
        <w:tc>
          <w:tcPr>
            <w:tcW w:w="619" w:type="pct"/>
          </w:tcPr>
          <w:p w:rsidR="00B15655" w:rsidRPr="003B1614" w:rsidRDefault="00B15655" w:rsidP="005D13C1">
            <w:pPr>
              <w:tabs>
                <w:tab w:val="left" w:pos="0"/>
              </w:tabs>
              <w:ind w:left="2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Абзац, пункт, статья (если применимо), наименование акта </w:t>
            </w: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(с указанием номера и даты)</w:t>
            </w:r>
          </w:p>
        </w:tc>
        <w:tc>
          <w:tcPr>
            <w:tcW w:w="619" w:type="pct"/>
          </w:tcPr>
          <w:p w:rsidR="00B15655" w:rsidRPr="003B1614" w:rsidRDefault="00B15655" w:rsidP="005D13C1">
            <w:pPr>
              <w:tabs>
                <w:tab w:val="left" w:pos="0"/>
              </w:tabs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Описание изменений, где применимо – </w:t>
            </w: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описание бизнес-процессов, ИТ-архитектуры и изменений НПА (или ссылка на материалы)</w:t>
            </w:r>
          </w:p>
        </w:tc>
        <w:tc>
          <w:tcPr>
            <w:tcW w:w="605" w:type="pct"/>
          </w:tcPr>
          <w:p w:rsidR="00B15655" w:rsidRPr="003B1614" w:rsidRDefault="00B15655" w:rsidP="005D13C1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Индикативная оценка экономии </w:t>
            </w: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(млн руб. в год у одного участника рынка)</w:t>
            </w:r>
          </w:p>
        </w:tc>
        <w:tc>
          <w:tcPr>
            <w:tcW w:w="535" w:type="pct"/>
          </w:tcPr>
          <w:p w:rsidR="00B15655" w:rsidRPr="003B1614" w:rsidRDefault="00B15655" w:rsidP="005D13C1">
            <w:pPr>
              <w:tabs>
                <w:tab w:val="left" w:pos="0"/>
              </w:tabs>
              <w:ind w:left="2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>Иные преимущества от внедрения</w:t>
            </w:r>
          </w:p>
        </w:tc>
        <w:tc>
          <w:tcPr>
            <w:tcW w:w="718" w:type="pct"/>
          </w:tcPr>
          <w:p w:rsidR="00B15655" w:rsidRPr="003B1614" w:rsidRDefault="00B15655" w:rsidP="005D13C1">
            <w:pPr>
              <w:tabs>
                <w:tab w:val="left" w:pos="0"/>
              </w:tabs>
              <w:ind w:left="2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>Варианты:</w:t>
            </w:r>
          </w:p>
          <w:p w:rsidR="00B15655" w:rsidRPr="003B1614" w:rsidRDefault="00B15655" w:rsidP="005D13C1">
            <w:pPr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198" w:hanging="141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>предложение;</w:t>
            </w:r>
          </w:p>
          <w:p w:rsidR="00B15655" w:rsidRPr="003B1614" w:rsidRDefault="00B15655" w:rsidP="005D13C1">
            <w:pPr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198" w:hanging="141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пилотный проект; </w:t>
            </w:r>
          </w:p>
          <w:p w:rsidR="00B15655" w:rsidRPr="003B1614" w:rsidRDefault="00B15655" w:rsidP="005D13C1">
            <w:pPr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198" w:hanging="141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промышленная реализация; </w:t>
            </w:r>
          </w:p>
          <w:p w:rsidR="00B15655" w:rsidRPr="003B1614" w:rsidRDefault="00B15655" w:rsidP="005D13C1">
            <w:pPr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198" w:hanging="141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>промышленная эксплуатация</w:t>
            </w:r>
          </w:p>
        </w:tc>
        <w:tc>
          <w:tcPr>
            <w:tcW w:w="714" w:type="pct"/>
          </w:tcPr>
          <w:p w:rsidR="00B15655" w:rsidRPr="003B1614" w:rsidRDefault="00B15655" w:rsidP="005D13C1">
            <w:pPr>
              <w:tabs>
                <w:tab w:val="left" w:pos="0"/>
              </w:tabs>
              <w:ind w:left="2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Варианты: </w:t>
            </w:r>
          </w:p>
          <w:p w:rsidR="00B15655" w:rsidRPr="003B1614" w:rsidRDefault="00B15655" w:rsidP="009032B0">
            <w:pPr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198" w:hanging="14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реализация </w:t>
            </w:r>
            <w:r w:rsidR="009032B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одной организации; </w:t>
            </w:r>
          </w:p>
          <w:p w:rsidR="00B15655" w:rsidRPr="003B1614" w:rsidRDefault="00B15655" w:rsidP="009032B0">
            <w:pPr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198" w:hanging="14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реализация </w:t>
            </w:r>
            <w:r w:rsidR="009032B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консорциума или иного объединения;</w:t>
            </w:r>
          </w:p>
          <w:p w:rsidR="00B15655" w:rsidRPr="003B1614" w:rsidRDefault="00B15655" w:rsidP="009032B0">
            <w:pPr>
              <w:numPr>
                <w:ilvl w:val="0"/>
                <w:numId w:val="3"/>
              </w:numPr>
              <w:tabs>
                <w:tab w:val="left" w:pos="0"/>
              </w:tabs>
              <w:spacing w:before="120"/>
              <w:ind w:left="198" w:hanging="14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i/>
                <w:sz w:val="20"/>
                <w:szCs w:val="20"/>
              </w:rPr>
              <w:t>предложение пилота регулятору</w:t>
            </w:r>
          </w:p>
          <w:p w:rsidR="00B15655" w:rsidRPr="003B1614" w:rsidRDefault="00B15655" w:rsidP="005D13C1">
            <w:pPr>
              <w:tabs>
                <w:tab w:val="left" w:pos="0"/>
              </w:tabs>
              <w:ind w:left="198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C045D" w:rsidRPr="003B1614" w:rsidTr="00DC045D">
        <w:trPr>
          <w:trHeight w:val="584"/>
        </w:trPr>
        <w:tc>
          <w:tcPr>
            <w:tcW w:w="11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45D" w:rsidRPr="003B1614" w:rsidTr="00DC045D">
        <w:trPr>
          <w:trHeight w:val="877"/>
        </w:trPr>
        <w:tc>
          <w:tcPr>
            <w:tcW w:w="11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B15655" w:rsidRPr="003B1614" w:rsidRDefault="00B15655" w:rsidP="005D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655" w:rsidRDefault="00B15655" w:rsidP="00B15655">
      <w:pPr>
        <w:spacing w:before="120" w:after="0" w:line="276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 xml:space="preserve">Какие процессы в рамках надзора и контроля соответствия регуляторным требованиям, по вашему мнению, целесообразно автоматизировать? </w:t>
      </w:r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>Какие регуляторные требования представляют наибольший интерес с точки зрения их перевода в машиночитаемую форму или автоматизации контроля исполнения? Обоснуйте, пожалуйста, ваш ответ.</w:t>
      </w:r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>Насколько существенно внедрение решений RegTech позволит снизить расходы? Приведите примеры затрат в разрезе регуляторных требований</w:t>
      </w:r>
      <w:r w:rsidRPr="003B1614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  <w:r w:rsidRPr="003B1614">
        <w:rPr>
          <w:rFonts w:ascii="Times New Roman" w:hAnsi="Times New Roman" w:cs="Times New Roman"/>
          <w:sz w:val="26"/>
          <w:szCs w:val="26"/>
        </w:rPr>
        <w:t>.</w:t>
      </w:r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>Какие преимущества, помимо снижения затрат, получают финансовые организации, внедрившие в свою деятельность решения RegTech?</w:t>
      </w:r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>В случае, если ваша организация имеет опыт внедрения решений RegTech, по каким направлениям деятельности получен наибольший эффект, в чем он заключается?</w:t>
      </w:r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>Какие инициативы целесообразно реализовать на уровне отдельных участников финансового рынка, а какие, наоборот, требуют совместных решений?</w:t>
      </w:r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 xml:space="preserve">Какие из перспективных инициатив Банка России в сфере SupTech представляют наибольший интерес для вас? Какие проекты целесообразно добавить к описанным в данном докладе? </w:t>
      </w:r>
    </w:p>
    <w:p w:rsidR="003B1614" w:rsidRPr="003B1614" w:rsidRDefault="003B1614" w:rsidP="003B1614">
      <w:pPr>
        <w:numPr>
          <w:ilvl w:val="0"/>
          <w:numId w:val="2"/>
        </w:numPr>
        <w:spacing w:before="120" w:after="0" w:line="276" w:lineRule="auto"/>
        <w:ind w:left="714" w:hanging="430"/>
        <w:jc w:val="both"/>
        <w:rPr>
          <w:rFonts w:ascii="Times New Roman" w:hAnsi="Times New Roman" w:cs="Times New Roman"/>
          <w:sz w:val="26"/>
          <w:szCs w:val="26"/>
        </w:rPr>
      </w:pPr>
      <w:r w:rsidRPr="003B1614">
        <w:rPr>
          <w:rFonts w:ascii="Times New Roman" w:hAnsi="Times New Roman" w:cs="Times New Roman"/>
          <w:sz w:val="26"/>
          <w:szCs w:val="26"/>
        </w:rPr>
        <w:t xml:space="preserve">В каких из проектов в сфере </w:t>
      </w:r>
      <w:r w:rsidRPr="003B1614">
        <w:rPr>
          <w:rFonts w:ascii="Times New Roman" w:hAnsi="Times New Roman" w:cs="Times New Roman"/>
          <w:sz w:val="26"/>
          <w:szCs w:val="26"/>
          <w:lang w:val="en-US"/>
        </w:rPr>
        <w:t>SupTech</w:t>
      </w:r>
      <w:r w:rsidRPr="003B1614">
        <w:rPr>
          <w:rFonts w:ascii="Times New Roman" w:hAnsi="Times New Roman" w:cs="Times New Roman"/>
          <w:sz w:val="26"/>
          <w:szCs w:val="26"/>
        </w:rPr>
        <w:t xml:space="preserve"> вы готовы принять участие на этапе пилотирования?   </w:t>
      </w:r>
    </w:p>
    <w:p w:rsidR="00555523" w:rsidRDefault="003B1614" w:rsidP="004F33C0">
      <w:pPr>
        <w:spacing w:before="240" w:after="0" w:line="276" w:lineRule="auto"/>
        <w:ind w:left="714"/>
        <w:jc w:val="both"/>
      </w:pPr>
      <w:r w:rsidRPr="003B1614">
        <w:rPr>
          <w:rFonts w:ascii="Times New Roman" w:hAnsi="Times New Roman" w:cs="Times New Roman"/>
          <w:i/>
          <w:sz w:val="26"/>
          <w:szCs w:val="26"/>
        </w:rPr>
        <w:t xml:space="preserve">Ответы на все вопросы должны быть полными и развернутыми для того, чтобы они были учтены при подведении итогов консультации с участниками рынка и формировании предложений по развитию технологий RegTech и </w:t>
      </w:r>
      <w:r w:rsidRPr="003B1614">
        <w:rPr>
          <w:rFonts w:ascii="Times New Roman" w:hAnsi="Times New Roman" w:cs="Times New Roman"/>
          <w:i/>
          <w:sz w:val="26"/>
          <w:szCs w:val="26"/>
          <w:lang w:val="en-US"/>
        </w:rPr>
        <w:t>SupTech</w:t>
      </w:r>
      <w:r w:rsidRPr="003B1614">
        <w:rPr>
          <w:rFonts w:ascii="Times New Roman" w:hAnsi="Times New Roman" w:cs="Times New Roman"/>
          <w:i/>
          <w:sz w:val="26"/>
          <w:szCs w:val="26"/>
        </w:rPr>
        <w:t xml:space="preserve"> в России.</w:t>
      </w:r>
    </w:p>
    <w:sectPr w:rsidR="00555523" w:rsidSect="00DC045D">
      <w:headerReference w:type="default" r:id="rId8"/>
      <w:footerReference w:type="default" r:id="rId9"/>
      <w:footerReference w:type="first" r:id="rId10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24" w:rsidRDefault="00457024" w:rsidP="003B1614">
      <w:pPr>
        <w:spacing w:after="0" w:line="240" w:lineRule="auto"/>
      </w:pPr>
      <w:r>
        <w:separator/>
      </w:r>
    </w:p>
  </w:endnote>
  <w:endnote w:type="continuationSeparator" w:id="0">
    <w:p w:rsidR="00457024" w:rsidRDefault="00457024" w:rsidP="003B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14" w:rsidRPr="00D91F7A" w:rsidRDefault="003B1614">
    <w:pPr>
      <w:pStyle w:val="a3"/>
      <w:jc w:val="right"/>
      <w:rPr>
        <w:rFonts w:ascii="Tahoma" w:hAnsi="Tahoma" w:cs="Tahoma"/>
        <w:sz w:val="18"/>
        <w:szCs w:val="18"/>
      </w:rPr>
    </w:pPr>
  </w:p>
  <w:p w:rsidR="003B1614" w:rsidRDefault="003B1614" w:rsidP="00CA19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399242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3B1614" w:rsidRPr="00D91F7A" w:rsidRDefault="003B1614" w:rsidP="00707F50">
        <w:pPr>
          <w:pStyle w:val="a3"/>
          <w:jc w:val="right"/>
          <w:rPr>
            <w:rFonts w:ascii="Tahoma" w:hAnsi="Tahoma" w:cs="Tahoma"/>
            <w:sz w:val="18"/>
            <w:szCs w:val="18"/>
          </w:rPr>
        </w:pPr>
        <w:r w:rsidRPr="00D91F7A">
          <w:rPr>
            <w:rFonts w:ascii="Tahoma" w:hAnsi="Tahoma" w:cs="Tahoma"/>
            <w:sz w:val="18"/>
            <w:szCs w:val="18"/>
          </w:rPr>
          <w:fldChar w:fldCharType="begin"/>
        </w:r>
        <w:r w:rsidRPr="00D91F7A">
          <w:rPr>
            <w:rFonts w:ascii="Tahoma" w:hAnsi="Tahoma" w:cs="Tahoma"/>
            <w:sz w:val="18"/>
            <w:szCs w:val="18"/>
          </w:rPr>
          <w:instrText>PAGE   \* MERGEFORMAT</w:instrText>
        </w:r>
        <w:r w:rsidRPr="00D91F7A">
          <w:rPr>
            <w:rFonts w:ascii="Tahoma" w:hAnsi="Tahoma" w:cs="Tahoma"/>
            <w:sz w:val="18"/>
            <w:szCs w:val="18"/>
          </w:rPr>
          <w:fldChar w:fldCharType="separate"/>
        </w:r>
        <w:r>
          <w:rPr>
            <w:rFonts w:ascii="Tahoma" w:hAnsi="Tahoma" w:cs="Tahoma"/>
            <w:noProof/>
            <w:sz w:val="18"/>
            <w:szCs w:val="18"/>
          </w:rPr>
          <w:t>1</w:t>
        </w:r>
        <w:r w:rsidRPr="00D91F7A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3B1614" w:rsidRDefault="003B16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24" w:rsidRDefault="00457024" w:rsidP="003B1614">
      <w:pPr>
        <w:spacing w:after="0" w:line="240" w:lineRule="auto"/>
      </w:pPr>
      <w:r>
        <w:separator/>
      </w:r>
    </w:p>
  </w:footnote>
  <w:footnote w:type="continuationSeparator" w:id="0">
    <w:p w:rsidR="00457024" w:rsidRDefault="00457024" w:rsidP="003B1614">
      <w:pPr>
        <w:spacing w:after="0" w:line="240" w:lineRule="auto"/>
      </w:pPr>
      <w:r>
        <w:continuationSeparator/>
      </w:r>
    </w:p>
  </w:footnote>
  <w:footnote w:id="1">
    <w:p w:rsidR="003B1614" w:rsidRPr="00410355" w:rsidRDefault="003B1614" w:rsidP="004F33C0">
      <w:pPr>
        <w:pStyle w:val="a5"/>
        <w:jc w:val="both"/>
        <w:rPr>
          <w:rFonts w:ascii="Times New Roman" w:hAnsi="Times New Roman" w:cs="Times New Roman"/>
        </w:rPr>
      </w:pPr>
      <w:r w:rsidRPr="009479FB">
        <w:rPr>
          <w:rStyle w:val="a7"/>
          <w:rFonts w:ascii="Times New Roman" w:hAnsi="Times New Roman" w:cs="Times New Roman"/>
          <w:sz w:val="22"/>
        </w:rPr>
        <w:footnoteRef/>
      </w:r>
      <w:r w:rsidRPr="009479FB">
        <w:rPr>
          <w:rFonts w:ascii="Times New Roman" w:hAnsi="Times New Roman" w:cs="Times New Roman"/>
          <w:sz w:val="22"/>
        </w:rPr>
        <w:t xml:space="preserve"> </w:t>
      </w:r>
      <w:r w:rsidRPr="00410355">
        <w:rPr>
          <w:rFonts w:ascii="Times New Roman" w:hAnsi="Times New Roman"/>
        </w:rPr>
        <w:t>Например, Инструкция Банка России от 28.06.2017</w:t>
      </w:r>
      <w:r w:rsidRPr="00410355">
        <w:rPr>
          <w:rFonts w:ascii="Times New Roman" w:hAnsi="Times New Roman" w:cs="Times New Roman"/>
        </w:rPr>
        <w:t xml:space="preserve"> </w:t>
      </w:r>
      <w:r w:rsidRPr="00410355">
        <w:rPr>
          <w:rFonts w:ascii="Times New Roman" w:hAnsi="Times New Roman"/>
        </w:rPr>
        <w:t>№ 180-И «Об обязательных нормативах банков», Положение Банка России от 28.06.2017 № 590-П «О порядке формирования кредитными организациями резервов на возможные потери по ссудам, ссудной и приравненной к ней задолженности», Указание Банка России от 24.11.2016 № 4212-У «О перечне, формах и порядке составления и представления форм отчетности кредитных организаций в Центральный банк Российской Федерации», Указание Банка России от 15.04.2015 № 3624-У</w:t>
      </w:r>
      <w:r w:rsidR="004F33C0" w:rsidRPr="004F33C0">
        <w:rPr>
          <w:rFonts w:ascii="Times New Roman" w:hAnsi="Times New Roman"/>
        </w:rPr>
        <w:t xml:space="preserve"> </w:t>
      </w:r>
      <w:r w:rsidRPr="00410355">
        <w:rPr>
          <w:rFonts w:ascii="Times New Roman" w:hAnsi="Times New Roman"/>
        </w:rPr>
        <w:t>«О требованиях к системе управления рисками и капиталом кредитной организации и банковской группы».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14" w:rsidRPr="00D91F7A" w:rsidRDefault="003B1614" w:rsidP="00D91F7A">
    <w:pPr>
      <w:keepNext/>
      <w:tabs>
        <w:tab w:val="left" w:pos="5954"/>
      </w:tabs>
      <w:spacing w:before="240" w:after="120" w:line="288" w:lineRule="auto"/>
      <w:rPr>
        <w:rFonts w:ascii="Tahoma" w:eastAsia="Calibri" w:hAnsi="Tahoma" w:cs="Tahoma"/>
        <w:color w:val="595959"/>
        <w:sz w:val="18"/>
        <w:szCs w:val="18"/>
        <w:lang w:eastAsia="ru-RU"/>
      </w:rPr>
    </w:pPr>
    <w:r w:rsidRPr="00D91F7A">
      <w:rPr>
        <w:rFonts w:ascii="Tahoma" w:eastAsia="Calibri" w:hAnsi="Tahoma" w:cs="Tahoma"/>
        <w:color w:val="595959"/>
        <w:sz w:val="18"/>
        <w:szCs w:val="18"/>
        <w:lang w:eastAsia="ru-RU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138B"/>
    <w:multiLevelType w:val="hybridMultilevel"/>
    <w:tmpl w:val="E1203E2C"/>
    <w:lvl w:ilvl="0" w:tplc="3D70474E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3AA2207A"/>
    <w:multiLevelType w:val="multilevel"/>
    <w:tmpl w:val="4416766E"/>
    <w:lvl w:ilvl="0">
      <w:start w:val="1"/>
      <w:numFmt w:val="decimal"/>
      <w:pStyle w:val="1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">
    <w:nsid w:val="42AC7310"/>
    <w:multiLevelType w:val="hybridMultilevel"/>
    <w:tmpl w:val="EE24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14"/>
    <w:rsid w:val="00042921"/>
    <w:rsid w:val="00192A82"/>
    <w:rsid w:val="003B1614"/>
    <w:rsid w:val="00457024"/>
    <w:rsid w:val="004F16F0"/>
    <w:rsid w:val="004F33C0"/>
    <w:rsid w:val="00516556"/>
    <w:rsid w:val="00555523"/>
    <w:rsid w:val="007F085E"/>
    <w:rsid w:val="009032B0"/>
    <w:rsid w:val="00A23097"/>
    <w:rsid w:val="00A254E9"/>
    <w:rsid w:val="00B15655"/>
    <w:rsid w:val="00CF1220"/>
    <w:rsid w:val="00DC045D"/>
    <w:rsid w:val="00F7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614"/>
    <w:pPr>
      <w:keepNext/>
      <w:keepLines/>
      <w:numPr>
        <w:numId w:val="1"/>
      </w:numPr>
      <w:spacing w:before="600" w:after="240" w:line="276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B1614"/>
  </w:style>
  <w:style w:type="paragraph" w:styleId="a5">
    <w:name w:val="footnote text"/>
    <w:basedOn w:val="a"/>
    <w:link w:val="a6"/>
    <w:uiPriority w:val="99"/>
    <w:semiHidden/>
    <w:unhideWhenUsed/>
    <w:rsid w:val="003B161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B1614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B1614"/>
    <w:rPr>
      <w:rFonts w:ascii="Times New Roman" w:eastAsiaTheme="majorEastAsia" w:hAnsi="Times New Roman" w:cstheme="majorBidi"/>
      <w:b/>
      <w:sz w:val="32"/>
      <w:szCs w:val="26"/>
    </w:rPr>
  </w:style>
  <w:style w:type="character" w:styleId="a7">
    <w:name w:val="footnote reference"/>
    <w:basedOn w:val="a0"/>
    <w:semiHidden/>
    <w:unhideWhenUsed/>
    <w:rsid w:val="003B1614"/>
    <w:rPr>
      <w:vertAlign w:val="superscript"/>
    </w:rPr>
  </w:style>
  <w:style w:type="table" w:customStyle="1" w:styleId="TableGrid1">
    <w:name w:val="Table Grid1"/>
    <w:basedOn w:val="a1"/>
    <w:next w:val="a8"/>
    <w:uiPriority w:val="39"/>
    <w:rsid w:val="003B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3B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B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1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614"/>
    <w:pPr>
      <w:keepNext/>
      <w:keepLines/>
      <w:numPr>
        <w:numId w:val="1"/>
      </w:numPr>
      <w:spacing w:before="600" w:after="240" w:line="276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B1614"/>
  </w:style>
  <w:style w:type="paragraph" w:styleId="a5">
    <w:name w:val="footnote text"/>
    <w:basedOn w:val="a"/>
    <w:link w:val="a6"/>
    <w:uiPriority w:val="99"/>
    <w:semiHidden/>
    <w:unhideWhenUsed/>
    <w:rsid w:val="003B161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B1614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B1614"/>
    <w:rPr>
      <w:rFonts w:ascii="Times New Roman" w:eastAsiaTheme="majorEastAsia" w:hAnsi="Times New Roman" w:cstheme="majorBidi"/>
      <w:b/>
      <w:sz w:val="32"/>
      <w:szCs w:val="26"/>
    </w:rPr>
  </w:style>
  <w:style w:type="character" w:styleId="a7">
    <w:name w:val="footnote reference"/>
    <w:basedOn w:val="a0"/>
    <w:semiHidden/>
    <w:unhideWhenUsed/>
    <w:rsid w:val="003B1614"/>
    <w:rPr>
      <w:vertAlign w:val="superscript"/>
    </w:rPr>
  </w:style>
  <w:style w:type="table" w:customStyle="1" w:styleId="TableGrid1">
    <w:name w:val="Table Grid1"/>
    <w:basedOn w:val="a1"/>
    <w:next w:val="a8"/>
    <w:uiPriority w:val="39"/>
    <w:rsid w:val="003B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3B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B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gcs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Козинцева Юлия Игоревна</dc:creator>
  <cp:keywords/>
  <dc:description/>
  <cp:lastModifiedBy>Козинцева Юлия Игоревна</cp:lastModifiedBy>
  <cp:revision>3</cp:revision>
  <dcterms:created xsi:type="dcterms:W3CDTF">2018-10-30T09:29:00Z</dcterms:created>
  <dcterms:modified xsi:type="dcterms:W3CDTF">2018-10-30T10:42:00Z</dcterms:modified>
</cp:coreProperties>
</file>