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ADC" w:rsidRPr="00E47ADC" w:rsidRDefault="00E47ADC" w:rsidP="00E47ADC">
      <w:pPr>
        <w:spacing w:after="0" w:line="240" w:lineRule="auto"/>
        <w:outlineLvl w:val="0"/>
        <w:rPr>
          <w:rFonts w:ascii="Times New Roman" w:eastAsia="Times New Roman" w:hAnsi="Times New Roman" w:cs="Times New Roman"/>
          <w:b/>
          <w:bCs/>
          <w:color w:val="0070C0"/>
          <w:kern w:val="36"/>
          <w:sz w:val="16"/>
          <w:szCs w:val="16"/>
          <w:lang w:eastAsia="ru-RU"/>
        </w:rPr>
      </w:pPr>
      <w:bookmarkStart w:id="0" w:name="_GoBack"/>
      <w:bookmarkEnd w:id="0"/>
      <w:r w:rsidRPr="00E47ADC">
        <w:rPr>
          <w:rFonts w:ascii="Times New Roman" w:eastAsia="Times New Roman" w:hAnsi="Times New Roman" w:cs="Times New Roman"/>
          <w:b/>
          <w:bCs/>
          <w:color w:val="0070C0"/>
          <w:kern w:val="36"/>
          <w:sz w:val="16"/>
          <w:szCs w:val="16"/>
          <w:lang w:eastAsia="ru-RU"/>
        </w:rPr>
        <w:t>Опубликовано на сайте ГК «АСВ» 23.11.2017</w:t>
      </w:r>
    </w:p>
    <w:p w:rsidR="00E47ADC" w:rsidRDefault="00E47ADC" w:rsidP="00E47ADC">
      <w:pPr>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E47ADC" w:rsidRDefault="00E47ADC" w:rsidP="00E47ADC">
      <w:pPr>
        <w:spacing w:after="0" w:line="240" w:lineRule="auto"/>
        <w:jc w:val="center"/>
        <w:outlineLvl w:val="0"/>
        <w:rPr>
          <w:rFonts w:ascii="Times New Roman" w:eastAsia="Times New Roman" w:hAnsi="Times New Roman" w:cs="Times New Roman"/>
          <w:b/>
          <w:bCs/>
          <w:color w:val="000000"/>
          <w:kern w:val="36"/>
          <w:sz w:val="28"/>
          <w:szCs w:val="28"/>
          <w:lang w:eastAsia="ru-RU"/>
        </w:rPr>
      </w:pPr>
      <w:r w:rsidRPr="00E47ADC">
        <w:rPr>
          <w:rFonts w:ascii="Times New Roman" w:eastAsia="Times New Roman" w:hAnsi="Times New Roman" w:cs="Times New Roman"/>
          <w:b/>
          <w:bCs/>
          <w:color w:val="000000"/>
          <w:kern w:val="36"/>
          <w:sz w:val="28"/>
          <w:szCs w:val="28"/>
          <w:lang w:eastAsia="ru-RU"/>
        </w:rPr>
        <w:t>Сведения о</w:t>
      </w:r>
      <w:r w:rsidR="00E07F11" w:rsidRPr="00E07F11">
        <w:rPr>
          <w:rFonts w:ascii="Times New Roman" w:eastAsia="Times New Roman" w:hAnsi="Times New Roman" w:cs="Times New Roman"/>
          <w:b/>
          <w:bCs/>
          <w:color w:val="000000"/>
          <w:kern w:val="36"/>
          <w:sz w:val="28"/>
          <w:szCs w:val="28"/>
          <w:lang w:eastAsia="ru-RU"/>
        </w:rPr>
        <w:t xml:space="preserve"> ходе конкурсного производства</w:t>
      </w:r>
      <w:r w:rsidRPr="00E47ADC">
        <w:rPr>
          <w:rFonts w:ascii="Times New Roman" w:eastAsia="Times New Roman" w:hAnsi="Times New Roman" w:cs="Times New Roman"/>
          <w:b/>
          <w:bCs/>
          <w:color w:val="000000"/>
          <w:kern w:val="36"/>
          <w:sz w:val="28"/>
          <w:szCs w:val="28"/>
          <w:lang w:eastAsia="ru-RU"/>
        </w:rPr>
        <w:t xml:space="preserve"> в отношении </w:t>
      </w:r>
    </w:p>
    <w:p w:rsidR="00E07F11" w:rsidRPr="00E07F11" w:rsidRDefault="00E47ADC" w:rsidP="00E47ADC">
      <w:pPr>
        <w:spacing w:after="0" w:line="240" w:lineRule="auto"/>
        <w:jc w:val="center"/>
        <w:outlineLvl w:val="0"/>
        <w:rPr>
          <w:rFonts w:ascii="Times New Roman" w:eastAsia="Times New Roman" w:hAnsi="Times New Roman" w:cs="Times New Roman"/>
          <w:b/>
          <w:bCs/>
          <w:color w:val="000000"/>
          <w:kern w:val="36"/>
          <w:sz w:val="28"/>
          <w:szCs w:val="28"/>
          <w:lang w:eastAsia="ru-RU"/>
        </w:rPr>
      </w:pPr>
      <w:r w:rsidRPr="00E07F11">
        <w:rPr>
          <w:rFonts w:ascii="Times New Roman" w:eastAsia="Times New Roman" w:hAnsi="Times New Roman" w:cs="Times New Roman"/>
          <w:b/>
          <w:color w:val="000000"/>
          <w:sz w:val="28"/>
          <w:szCs w:val="28"/>
          <w:lang w:eastAsia="ru-RU"/>
        </w:rPr>
        <w:t>ООО «ТАТАГРОПРОМБАНК»</w:t>
      </w:r>
    </w:p>
    <w:p w:rsidR="00E07F11" w:rsidRPr="00E07F11" w:rsidRDefault="00E07F11" w:rsidP="00E47ADC">
      <w:pPr>
        <w:spacing w:after="0" w:line="240" w:lineRule="auto"/>
        <w:jc w:val="both"/>
        <w:rPr>
          <w:rFonts w:ascii="Times New Roman" w:eastAsia="Times New Roman" w:hAnsi="Times New Roman" w:cs="Times New Roman"/>
          <w:color w:val="666666"/>
          <w:sz w:val="26"/>
          <w:szCs w:val="26"/>
          <w:lang w:eastAsia="ru-RU"/>
        </w:rPr>
      </w:pPr>
    </w:p>
    <w:p w:rsidR="00E07F11" w:rsidRPr="00E07F11" w:rsidRDefault="00E07F11" w:rsidP="00E47ADC">
      <w:pPr>
        <w:spacing w:after="0" w:line="240" w:lineRule="auto"/>
        <w:ind w:firstLine="709"/>
        <w:jc w:val="both"/>
        <w:rPr>
          <w:rFonts w:ascii="Times New Roman" w:eastAsia="Times New Roman" w:hAnsi="Times New Roman" w:cs="Times New Roman"/>
          <w:color w:val="000000"/>
          <w:sz w:val="26"/>
          <w:szCs w:val="26"/>
          <w:lang w:eastAsia="ru-RU"/>
        </w:rPr>
      </w:pPr>
      <w:r w:rsidRPr="00E07F11">
        <w:rPr>
          <w:rFonts w:ascii="Times New Roman" w:eastAsia="Times New Roman" w:hAnsi="Times New Roman" w:cs="Times New Roman"/>
          <w:color w:val="000000"/>
          <w:sz w:val="26"/>
          <w:szCs w:val="26"/>
          <w:lang w:eastAsia="ru-RU"/>
        </w:rPr>
        <w:t>Решением Арбитражного суда Республики Татарстан от 23 мая 2017 г. (резолютивная часть объявлена 22 мая 2017 г.) по делу № А65-8850/2017 Общество с ограниченной ответственностью ОБЩЕСТВО С ОГРАНИЧЕННОЙ ОТВЕТСТВЕННОСТЬЮ «ТАТАРСТАНСКИЙ АГРАРНО-ПРОМЫШЛЕННЫЙ БАНК» (ООО «ТАТАГРОПРОМБАНК», далее – Банк, ОГРН 1021600002500, ИНН 1627000724, зарегистрированный по адресу: 420097, Республика Татарстан, г. Казань, ул. Зинина, д. 4) признан несостоятельным (банкротом) и в отношении него открыто конкурсное производство сроком на один год. Функции конкурсного управляющего возложены на государственную корпорацию «Агентство по страхованию вкладов» (далее – Агентство), расположенную по адресу: 109240, г. Москва, ул. Высоцкого, д. 4. Судебное заседание по рассмотрению отчета конкурсного управляющего назначено на 21 мая 2018 г.</w:t>
      </w:r>
    </w:p>
    <w:p w:rsidR="00E07F11" w:rsidRPr="00E07F11" w:rsidRDefault="00E07F11" w:rsidP="00E47ADC">
      <w:pPr>
        <w:spacing w:after="0" w:line="240" w:lineRule="auto"/>
        <w:ind w:firstLine="709"/>
        <w:jc w:val="both"/>
        <w:rPr>
          <w:rFonts w:ascii="Times New Roman" w:eastAsia="Times New Roman" w:hAnsi="Times New Roman" w:cs="Times New Roman"/>
          <w:color w:val="000000"/>
          <w:sz w:val="26"/>
          <w:szCs w:val="26"/>
          <w:lang w:eastAsia="ru-RU"/>
        </w:rPr>
      </w:pPr>
      <w:r w:rsidRPr="00E07F11">
        <w:rPr>
          <w:rFonts w:ascii="Times New Roman" w:eastAsia="Times New Roman" w:hAnsi="Times New Roman" w:cs="Times New Roman"/>
          <w:color w:val="000000"/>
          <w:sz w:val="26"/>
          <w:szCs w:val="26"/>
          <w:lang w:eastAsia="ru-RU"/>
        </w:rPr>
        <w:t>Адрес для направления почтовой корреспонденции, в том числе требований кредиторов: 420097, Республика Татарстан, г. Казань, ул. Зинина, д. 4. Также требования кредиторов можно направить по адресу: 127055, г. Москва, ул. Лесная, д. 59, стр. 2.</w:t>
      </w:r>
    </w:p>
    <w:p w:rsidR="00E07F11" w:rsidRPr="00E07F11" w:rsidRDefault="00E07F11" w:rsidP="00E47ADC">
      <w:pPr>
        <w:spacing w:after="0" w:line="240" w:lineRule="auto"/>
        <w:ind w:firstLine="709"/>
        <w:jc w:val="both"/>
        <w:rPr>
          <w:rFonts w:ascii="Times New Roman" w:eastAsia="Times New Roman" w:hAnsi="Times New Roman" w:cs="Times New Roman"/>
          <w:color w:val="000000"/>
          <w:sz w:val="26"/>
          <w:szCs w:val="26"/>
          <w:lang w:eastAsia="ru-RU"/>
        </w:rPr>
      </w:pPr>
      <w:r w:rsidRPr="00E07F11">
        <w:rPr>
          <w:rFonts w:ascii="Times New Roman" w:eastAsia="Times New Roman" w:hAnsi="Times New Roman" w:cs="Times New Roman"/>
          <w:color w:val="000000"/>
          <w:sz w:val="26"/>
          <w:szCs w:val="26"/>
          <w:lang w:eastAsia="ru-RU"/>
        </w:rPr>
        <w:t>В соответствии с требованиями Федерального закона от 26 октября 2002 г. № 127-ФЗ «О несостоятельности (банкротстве)» (далее – Федеральный закон) Агентство публикует сведения о ходе конкурсного производства в отношении Банка. Последняя информация о ходе конкурсного производства размещена 21 июня 2017 г. на сайте Агентства и в Едином федеральном реестре сведений о банкротстве (далее – ЕФРСБ).</w:t>
      </w:r>
    </w:p>
    <w:p w:rsidR="00E07F11" w:rsidRPr="00E07F11" w:rsidRDefault="00E07F11" w:rsidP="00E47ADC">
      <w:pPr>
        <w:spacing w:after="0" w:line="240" w:lineRule="auto"/>
        <w:ind w:firstLine="709"/>
        <w:jc w:val="both"/>
        <w:rPr>
          <w:rFonts w:ascii="Times New Roman" w:eastAsia="Times New Roman" w:hAnsi="Times New Roman" w:cs="Times New Roman"/>
          <w:color w:val="000000"/>
          <w:sz w:val="26"/>
          <w:szCs w:val="26"/>
          <w:lang w:eastAsia="ru-RU"/>
        </w:rPr>
      </w:pPr>
      <w:r w:rsidRPr="00E07F11">
        <w:rPr>
          <w:rFonts w:ascii="Times New Roman" w:eastAsia="Times New Roman" w:hAnsi="Times New Roman" w:cs="Times New Roman"/>
          <w:color w:val="000000"/>
          <w:sz w:val="26"/>
          <w:szCs w:val="26"/>
          <w:lang w:eastAsia="ru-RU"/>
        </w:rPr>
        <w:t>В период с 15 ноября 2017 г. по 14 февраля 2018 г. конкурным управляющим осуществляются расчеты с кредиторами первой очереди, требования которых включены в реестр требований кредиторов Банка, в размере 7,77 % суммы установленных требований указанных кредиторов.</w:t>
      </w:r>
    </w:p>
    <w:p w:rsidR="00E07F11" w:rsidRPr="00E07F11" w:rsidRDefault="00E07F11" w:rsidP="00E47ADC">
      <w:pPr>
        <w:spacing w:after="0" w:line="240" w:lineRule="auto"/>
        <w:ind w:firstLine="709"/>
        <w:jc w:val="both"/>
        <w:rPr>
          <w:rFonts w:ascii="Times New Roman" w:eastAsia="Times New Roman" w:hAnsi="Times New Roman" w:cs="Times New Roman"/>
          <w:color w:val="000000"/>
          <w:sz w:val="26"/>
          <w:szCs w:val="26"/>
          <w:lang w:eastAsia="ru-RU"/>
        </w:rPr>
      </w:pPr>
      <w:r w:rsidRPr="00E07F11">
        <w:rPr>
          <w:rFonts w:ascii="Times New Roman" w:eastAsia="Times New Roman" w:hAnsi="Times New Roman" w:cs="Times New Roman"/>
          <w:color w:val="000000"/>
          <w:sz w:val="26"/>
          <w:szCs w:val="26"/>
          <w:lang w:eastAsia="ru-RU"/>
        </w:rPr>
        <w:t>За период с 22 мая по 31 октября 2017 г. списание и реализация имущества Банка не проводились.</w:t>
      </w:r>
    </w:p>
    <w:p w:rsidR="00E07F11" w:rsidRPr="00E07F11" w:rsidRDefault="00E07F11" w:rsidP="00E47ADC">
      <w:pPr>
        <w:spacing w:after="0" w:line="240" w:lineRule="auto"/>
        <w:ind w:firstLine="709"/>
        <w:jc w:val="both"/>
        <w:rPr>
          <w:rFonts w:ascii="Times New Roman" w:eastAsia="Times New Roman" w:hAnsi="Times New Roman" w:cs="Times New Roman"/>
          <w:color w:val="000000"/>
          <w:sz w:val="26"/>
          <w:szCs w:val="26"/>
          <w:lang w:eastAsia="ru-RU"/>
        </w:rPr>
      </w:pPr>
      <w:r w:rsidRPr="00E07F11">
        <w:rPr>
          <w:rFonts w:ascii="Times New Roman" w:eastAsia="Times New Roman" w:hAnsi="Times New Roman" w:cs="Times New Roman"/>
          <w:color w:val="000000"/>
          <w:sz w:val="26"/>
          <w:szCs w:val="26"/>
          <w:lang w:eastAsia="ru-RU"/>
        </w:rPr>
        <w:t>Конкурсным управляющим Банком 22 августа 2017 г. завершена инвентаризация имущества Банка по состоянию на дату открытия конкурсного производства (22 мая 2017 г.), итоги которой в соответствии с п. 2 ст. 129 Федерального закона 25 августа 2017 г. размещены в ЕФРСБ и на сайте Агентства. По результатам инвентаризации выявлено имущество Банка в количестве 2 401 единиц (мебель, банковское оборудование, оргтехника), неучтенное на балансовых счетах Банка.</w:t>
      </w:r>
    </w:p>
    <w:p w:rsidR="00E07F11" w:rsidRPr="00E07F11" w:rsidRDefault="00E07F11" w:rsidP="00E47ADC">
      <w:pPr>
        <w:spacing w:after="0" w:line="240" w:lineRule="auto"/>
        <w:ind w:firstLine="709"/>
        <w:jc w:val="both"/>
        <w:rPr>
          <w:rFonts w:ascii="Times New Roman" w:eastAsia="Times New Roman" w:hAnsi="Times New Roman" w:cs="Times New Roman"/>
          <w:color w:val="000000"/>
          <w:sz w:val="26"/>
          <w:szCs w:val="26"/>
          <w:lang w:eastAsia="ru-RU"/>
        </w:rPr>
      </w:pPr>
      <w:r w:rsidRPr="00E07F11">
        <w:rPr>
          <w:rFonts w:ascii="Times New Roman" w:eastAsia="Times New Roman" w:hAnsi="Times New Roman" w:cs="Times New Roman"/>
          <w:color w:val="000000"/>
          <w:sz w:val="26"/>
          <w:szCs w:val="26"/>
          <w:lang w:eastAsia="ru-RU"/>
        </w:rPr>
        <w:t>В соответствии с требованиями ст. 139 Федерального закона конкурсным управляющим привлечен оценщик для определения стоимости имущества Банка (недвижимое имущество, транспортные средства, доля в уставном капитале организации). Оценка имущества Банка завершена 30 октября 2017 г., по ее результатам рыночная стоимость имущества, предлагаемого к оценке, составила 193 922 тыс. руб. Итоги оценки в соответствии с п. 1 ст. 139 Федерального закона размещены в ЕФРСБ и на сайте Агентства 1 ноября 2017 г.</w:t>
      </w:r>
    </w:p>
    <w:p w:rsidR="00E07F11" w:rsidRPr="00E07F11" w:rsidRDefault="00E07F11" w:rsidP="00E47ADC">
      <w:pPr>
        <w:spacing w:after="0" w:line="240" w:lineRule="auto"/>
        <w:ind w:firstLine="709"/>
        <w:jc w:val="both"/>
        <w:rPr>
          <w:rFonts w:ascii="Times New Roman" w:eastAsia="Times New Roman" w:hAnsi="Times New Roman" w:cs="Times New Roman"/>
          <w:color w:val="000000"/>
          <w:sz w:val="26"/>
          <w:szCs w:val="26"/>
          <w:lang w:eastAsia="ru-RU"/>
        </w:rPr>
      </w:pPr>
      <w:r w:rsidRPr="00E07F11">
        <w:rPr>
          <w:rFonts w:ascii="Times New Roman" w:eastAsia="Times New Roman" w:hAnsi="Times New Roman" w:cs="Times New Roman"/>
          <w:color w:val="000000"/>
          <w:sz w:val="26"/>
          <w:szCs w:val="26"/>
          <w:lang w:eastAsia="ru-RU"/>
        </w:rPr>
        <w:t>Информация о проведении торгов указанным имуществом Банка, а также правами требования к должникам Банка, будет размещена в ЕФРСБ и на сайте Агентства в порядке ст. 110 Федерального закона.</w:t>
      </w:r>
    </w:p>
    <w:p w:rsidR="00E07F11" w:rsidRPr="00E07F11" w:rsidRDefault="00E07F11" w:rsidP="00E47ADC">
      <w:pPr>
        <w:spacing w:after="0" w:line="240" w:lineRule="auto"/>
        <w:ind w:firstLine="709"/>
        <w:jc w:val="both"/>
        <w:rPr>
          <w:rFonts w:ascii="Times New Roman" w:eastAsia="Times New Roman" w:hAnsi="Times New Roman" w:cs="Times New Roman"/>
          <w:color w:val="000000"/>
          <w:sz w:val="26"/>
          <w:szCs w:val="26"/>
          <w:lang w:eastAsia="ru-RU"/>
        </w:rPr>
      </w:pPr>
      <w:r w:rsidRPr="00E07F11">
        <w:rPr>
          <w:rFonts w:ascii="Times New Roman" w:eastAsia="Times New Roman" w:hAnsi="Times New Roman" w:cs="Times New Roman"/>
          <w:color w:val="000000"/>
          <w:sz w:val="26"/>
          <w:szCs w:val="26"/>
          <w:lang w:eastAsia="ru-RU"/>
        </w:rPr>
        <w:lastRenderedPageBreak/>
        <w:t>Конкурсным управляющим проводится работа по взысканию ссудной задолженности с должников Банка в претензионном и судебном порядке.</w:t>
      </w:r>
    </w:p>
    <w:p w:rsidR="00E07F11" w:rsidRPr="00E07F11" w:rsidRDefault="00E07F11" w:rsidP="00E47ADC">
      <w:pPr>
        <w:spacing w:after="0" w:line="240" w:lineRule="auto"/>
        <w:ind w:firstLine="709"/>
        <w:jc w:val="both"/>
        <w:rPr>
          <w:rFonts w:ascii="Times New Roman" w:eastAsia="Times New Roman" w:hAnsi="Times New Roman" w:cs="Times New Roman"/>
          <w:color w:val="000000"/>
          <w:sz w:val="26"/>
          <w:szCs w:val="26"/>
          <w:lang w:eastAsia="ru-RU"/>
        </w:rPr>
      </w:pPr>
      <w:r w:rsidRPr="00E07F11">
        <w:rPr>
          <w:rFonts w:ascii="Times New Roman" w:eastAsia="Times New Roman" w:hAnsi="Times New Roman" w:cs="Times New Roman"/>
          <w:color w:val="000000"/>
          <w:sz w:val="26"/>
          <w:szCs w:val="26"/>
          <w:lang w:eastAsia="ru-RU"/>
        </w:rPr>
        <w:t>По состоянию на 1 ноября 2017 г. в суды подано 87 исковых заявлений на общую сумму 708 868 тыс. руб. (с учетом исков, предъявленных до даты открытия конкурсного производства), из которых удовлетворено 71 исковое заявление на общую сумму 88 589 тыс. руб. Отказано в удовлетворении или прекращено производство по 3 исковым заявлениям. Остальные иски находятся на рассмотрении в суде. На основании вступивших в законную силу судебных актов возбуждено 75 исполнительных производств на сумму 48 072 тыс. руб., из которых 16 на общую сумму 9 539 тыс. руб. окончены в связи с невозможностью взыскания.</w:t>
      </w:r>
    </w:p>
    <w:p w:rsidR="00E07F11" w:rsidRPr="00E07F11" w:rsidRDefault="00E07F11" w:rsidP="00E47ADC">
      <w:pPr>
        <w:spacing w:after="0" w:line="240" w:lineRule="auto"/>
        <w:ind w:firstLine="709"/>
        <w:jc w:val="both"/>
        <w:rPr>
          <w:rFonts w:ascii="Times New Roman" w:eastAsia="Times New Roman" w:hAnsi="Times New Roman" w:cs="Times New Roman"/>
          <w:color w:val="000000"/>
          <w:sz w:val="26"/>
          <w:szCs w:val="26"/>
          <w:lang w:eastAsia="ru-RU"/>
        </w:rPr>
      </w:pPr>
      <w:r w:rsidRPr="00E07F11">
        <w:rPr>
          <w:rFonts w:ascii="Times New Roman" w:eastAsia="Times New Roman" w:hAnsi="Times New Roman" w:cs="Times New Roman"/>
          <w:color w:val="000000"/>
          <w:sz w:val="26"/>
          <w:szCs w:val="26"/>
          <w:lang w:eastAsia="ru-RU"/>
        </w:rPr>
        <w:t>С целью выявления сделок, отвечающих в соответствии Федеральным законом признакам недействительности, совершенных Банком в преддверии банкротства, в настоящее время конкурсным управляющим проводится анализ заключенных договоров банковского счета, депозитных, кредитных договоров и договоров купли-продажи, уступки права требования на предмет их соответствия требованиям закона, а также коммерческой целесообразности.</w:t>
      </w:r>
    </w:p>
    <w:p w:rsidR="00E07F11" w:rsidRPr="00E07F11" w:rsidRDefault="00E07F11" w:rsidP="00E47ADC">
      <w:pPr>
        <w:spacing w:after="0" w:line="240" w:lineRule="auto"/>
        <w:ind w:firstLine="709"/>
        <w:jc w:val="both"/>
        <w:rPr>
          <w:rFonts w:ascii="Times New Roman" w:eastAsia="Times New Roman" w:hAnsi="Times New Roman" w:cs="Times New Roman"/>
          <w:color w:val="000000"/>
          <w:sz w:val="26"/>
          <w:szCs w:val="26"/>
          <w:lang w:eastAsia="ru-RU"/>
        </w:rPr>
      </w:pPr>
      <w:r w:rsidRPr="00E07F11">
        <w:rPr>
          <w:rFonts w:ascii="Times New Roman" w:eastAsia="Times New Roman" w:hAnsi="Times New Roman" w:cs="Times New Roman"/>
          <w:color w:val="000000"/>
          <w:sz w:val="26"/>
          <w:szCs w:val="26"/>
          <w:lang w:eastAsia="ru-RU"/>
        </w:rPr>
        <w:t>21 июля 2017 г. Банком России в СК России и МВД России направлено заявление по ст. 159, 160, 165, 201, 195 и 196 УК РФ по фактам хищения имущества Банка под видом выдачи кредитов юридическим лицам и возможного преднамеренного банкротства Банка.</w:t>
      </w:r>
    </w:p>
    <w:p w:rsidR="00E07F11" w:rsidRPr="00E07F11" w:rsidRDefault="00E07F11" w:rsidP="00E47ADC">
      <w:pPr>
        <w:spacing w:after="0" w:line="240" w:lineRule="auto"/>
        <w:ind w:firstLine="709"/>
        <w:jc w:val="both"/>
        <w:rPr>
          <w:rFonts w:ascii="Times New Roman" w:eastAsia="Times New Roman" w:hAnsi="Times New Roman" w:cs="Times New Roman"/>
          <w:color w:val="000000"/>
          <w:sz w:val="26"/>
          <w:szCs w:val="26"/>
          <w:lang w:eastAsia="ru-RU"/>
        </w:rPr>
      </w:pPr>
      <w:r w:rsidRPr="00E07F11">
        <w:rPr>
          <w:rFonts w:ascii="Times New Roman" w:eastAsia="Times New Roman" w:hAnsi="Times New Roman" w:cs="Times New Roman"/>
          <w:color w:val="000000"/>
          <w:sz w:val="26"/>
          <w:szCs w:val="26"/>
          <w:lang w:eastAsia="ru-RU"/>
        </w:rPr>
        <w:t>Заявление Банка России, направленное в СК России, приобщено к материалам уголовного дела, возбужденного в отношении бывшего председателя правления ПАО «Татфондбанк» по ч. 4 ст. 159 УК РФ по фактам хищения имущества Банка России и ПАО «Татфондбанк».</w:t>
      </w:r>
    </w:p>
    <w:p w:rsidR="00E07F11" w:rsidRPr="00E07F11" w:rsidRDefault="00E07F11" w:rsidP="00E47ADC">
      <w:pPr>
        <w:spacing w:after="0" w:line="240" w:lineRule="auto"/>
        <w:ind w:firstLine="709"/>
        <w:jc w:val="both"/>
        <w:rPr>
          <w:rFonts w:ascii="Times New Roman" w:eastAsia="Times New Roman" w:hAnsi="Times New Roman" w:cs="Times New Roman"/>
          <w:color w:val="000000"/>
          <w:sz w:val="26"/>
          <w:szCs w:val="26"/>
          <w:lang w:eastAsia="ru-RU"/>
        </w:rPr>
      </w:pPr>
      <w:r w:rsidRPr="00E07F11">
        <w:rPr>
          <w:rFonts w:ascii="Times New Roman" w:eastAsia="Times New Roman" w:hAnsi="Times New Roman" w:cs="Times New Roman"/>
          <w:color w:val="000000"/>
          <w:sz w:val="26"/>
          <w:szCs w:val="26"/>
          <w:lang w:eastAsia="ru-RU"/>
        </w:rPr>
        <w:t>22 марта 2016 г. СУ УМВД России по г. Набережные Челны в отношении руководителя дополнительного офиса № 55 Банка возбуждено уголовное дело по ч. 4 ст. 159 УК РФ по факту хищения наличных денежных средств Банка. Уголовное дело направлено в Набережночелнинский городской суд Республики Татарстан для рассмотрения по существу.</w:t>
      </w:r>
    </w:p>
    <w:p w:rsidR="00E07F11" w:rsidRPr="00E07F11" w:rsidRDefault="00E07F11" w:rsidP="00E47ADC">
      <w:pPr>
        <w:spacing w:after="0" w:line="240" w:lineRule="auto"/>
        <w:ind w:firstLine="709"/>
        <w:jc w:val="both"/>
        <w:rPr>
          <w:rFonts w:ascii="Times New Roman" w:eastAsia="Times New Roman" w:hAnsi="Times New Roman" w:cs="Times New Roman"/>
          <w:color w:val="000000"/>
          <w:sz w:val="26"/>
          <w:szCs w:val="26"/>
          <w:lang w:eastAsia="ru-RU"/>
        </w:rPr>
      </w:pPr>
      <w:r w:rsidRPr="00E07F11">
        <w:rPr>
          <w:rFonts w:ascii="Times New Roman" w:eastAsia="Times New Roman" w:hAnsi="Times New Roman" w:cs="Times New Roman"/>
          <w:color w:val="000000"/>
          <w:sz w:val="26"/>
          <w:szCs w:val="26"/>
          <w:lang w:eastAsia="ru-RU"/>
        </w:rPr>
        <w:t>21 сентября 2017 г. приговором Набережночелнинского городского суда Республики Татарстан руководитель дополнительного офиса № 55 Банка признана виновной в совершении преступления, предусмотренного ч. 4 ст. 159 УК РФ, и ей назначено наказание в виде лишения свободы сроком на 3 года условно. Приговором удовлетворен гражданский иск Банка к осужденной.</w:t>
      </w:r>
    </w:p>
    <w:p w:rsidR="00E07F11" w:rsidRPr="00E07F11" w:rsidRDefault="00E07F11" w:rsidP="00E47ADC">
      <w:pPr>
        <w:spacing w:after="0" w:line="240" w:lineRule="auto"/>
        <w:ind w:firstLine="709"/>
        <w:jc w:val="both"/>
        <w:rPr>
          <w:rFonts w:ascii="Times New Roman" w:eastAsia="Times New Roman" w:hAnsi="Times New Roman" w:cs="Times New Roman"/>
          <w:color w:val="000000"/>
          <w:sz w:val="26"/>
          <w:szCs w:val="26"/>
          <w:lang w:eastAsia="ru-RU"/>
        </w:rPr>
      </w:pPr>
      <w:r w:rsidRPr="00E07F11">
        <w:rPr>
          <w:rFonts w:ascii="Times New Roman" w:eastAsia="Times New Roman" w:hAnsi="Times New Roman" w:cs="Times New Roman"/>
          <w:color w:val="000000"/>
          <w:sz w:val="26"/>
          <w:szCs w:val="26"/>
          <w:lang w:eastAsia="ru-RU"/>
        </w:rPr>
        <w:t>Конкурсным управляющим планируется проведение проверки обстоятельств банкротства Банка, по результатам которой, в случае обнаружения соответствующих обстоятельств, будет составлено заключение о наличии либо отсутствии признаков преднамеренного банкротства, а также приняты меры по привлечению к гражданско-правовой и/или уголовной ответственности лиц, виновных в банкротстве Банка.</w:t>
      </w:r>
    </w:p>
    <w:p w:rsidR="00E07F11" w:rsidRDefault="00E07F11" w:rsidP="00E47ADC">
      <w:pPr>
        <w:spacing w:after="0" w:line="240" w:lineRule="auto"/>
        <w:ind w:firstLine="709"/>
        <w:jc w:val="both"/>
        <w:rPr>
          <w:rFonts w:ascii="Times New Roman" w:eastAsia="Times New Roman" w:hAnsi="Times New Roman" w:cs="Times New Roman"/>
          <w:color w:val="000000"/>
          <w:sz w:val="26"/>
          <w:szCs w:val="26"/>
          <w:lang w:eastAsia="ru-RU"/>
        </w:rPr>
      </w:pPr>
      <w:r w:rsidRPr="00E07F11">
        <w:rPr>
          <w:rFonts w:ascii="Times New Roman" w:eastAsia="Times New Roman" w:hAnsi="Times New Roman" w:cs="Times New Roman"/>
          <w:color w:val="000000"/>
          <w:sz w:val="26"/>
          <w:szCs w:val="26"/>
          <w:lang w:eastAsia="ru-RU"/>
        </w:rPr>
        <w:t>В соответствии с требованиями Федерального закона Агентство публикует сведения о стоимости нереализованного имущества Банка и об исполнении сметы текущих расходов.</w:t>
      </w:r>
    </w:p>
    <w:p w:rsidR="00E47ADC" w:rsidRPr="00E07F11" w:rsidRDefault="00E47ADC" w:rsidP="00E47ADC">
      <w:pPr>
        <w:spacing w:after="0" w:line="240" w:lineRule="auto"/>
        <w:ind w:firstLine="709"/>
        <w:jc w:val="both"/>
        <w:rPr>
          <w:rFonts w:ascii="Times New Roman" w:eastAsia="Times New Roman" w:hAnsi="Times New Roman" w:cs="Times New Roman"/>
          <w:color w:val="000000"/>
          <w:sz w:val="26"/>
          <w:szCs w:val="26"/>
          <w:lang w:eastAsia="ru-RU"/>
        </w:rPr>
      </w:pPr>
    </w:p>
    <w:p w:rsidR="00E47ADC" w:rsidRDefault="00E47ADC" w:rsidP="00E47ADC">
      <w:pPr>
        <w:spacing w:after="0" w:line="240" w:lineRule="auto"/>
        <w:jc w:val="center"/>
        <w:rPr>
          <w:rFonts w:ascii="Times New Roman" w:eastAsia="Times New Roman" w:hAnsi="Times New Roman" w:cs="Times New Roman"/>
          <w:b/>
          <w:bCs/>
          <w:color w:val="000000"/>
          <w:sz w:val="26"/>
          <w:szCs w:val="26"/>
          <w:lang w:eastAsia="ru-RU"/>
        </w:rPr>
      </w:pPr>
    </w:p>
    <w:p w:rsidR="00E47ADC" w:rsidRDefault="00E47ADC" w:rsidP="00E47ADC">
      <w:pPr>
        <w:spacing w:after="0" w:line="240" w:lineRule="auto"/>
        <w:jc w:val="center"/>
        <w:rPr>
          <w:rFonts w:ascii="Times New Roman" w:eastAsia="Times New Roman" w:hAnsi="Times New Roman" w:cs="Times New Roman"/>
          <w:b/>
          <w:bCs/>
          <w:color w:val="000000"/>
          <w:sz w:val="26"/>
          <w:szCs w:val="26"/>
          <w:lang w:eastAsia="ru-RU"/>
        </w:rPr>
      </w:pPr>
    </w:p>
    <w:p w:rsidR="00E47ADC" w:rsidRDefault="00E47ADC" w:rsidP="00E47ADC">
      <w:pPr>
        <w:spacing w:after="0" w:line="240" w:lineRule="auto"/>
        <w:jc w:val="center"/>
        <w:rPr>
          <w:rFonts w:ascii="Times New Roman" w:eastAsia="Times New Roman" w:hAnsi="Times New Roman" w:cs="Times New Roman"/>
          <w:b/>
          <w:bCs/>
          <w:color w:val="000000"/>
          <w:sz w:val="26"/>
          <w:szCs w:val="26"/>
          <w:lang w:eastAsia="ru-RU"/>
        </w:rPr>
      </w:pPr>
    </w:p>
    <w:p w:rsidR="00E47ADC" w:rsidRDefault="00E47ADC" w:rsidP="00E47ADC">
      <w:pPr>
        <w:spacing w:after="0" w:line="240" w:lineRule="auto"/>
        <w:jc w:val="center"/>
        <w:rPr>
          <w:rFonts w:ascii="Times New Roman" w:eastAsia="Times New Roman" w:hAnsi="Times New Roman" w:cs="Times New Roman"/>
          <w:b/>
          <w:bCs/>
          <w:color w:val="000000"/>
          <w:sz w:val="26"/>
          <w:szCs w:val="26"/>
          <w:lang w:eastAsia="ru-RU"/>
        </w:rPr>
      </w:pPr>
    </w:p>
    <w:p w:rsidR="00E47ADC" w:rsidRDefault="00E47ADC" w:rsidP="00E47ADC">
      <w:pPr>
        <w:spacing w:after="0" w:line="240" w:lineRule="auto"/>
        <w:jc w:val="center"/>
        <w:rPr>
          <w:rFonts w:ascii="Times New Roman" w:eastAsia="Times New Roman" w:hAnsi="Times New Roman" w:cs="Times New Roman"/>
          <w:b/>
          <w:bCs/>
          <w:color w:val="000000"/>
          <w:sz w:val="26"/>
          <w:szCs w:val="26"/>
          <w:lang w:eastAsia="ru-RU"/>
        </w:rPr>
      </w:pPr>
    </w:p>
    <w:p w:rsidR="00E47ADC" w:rsidRDefault="00E47ADC" w:rsidP="00E47ADC">
      <w:pPr>
        <w:spacing w:after="0" w:line="240" w:lineRule="auto"/>
        <w:jc w:val="center"/>
        <w:rPr>
          <w:rFonts w:ascii="Times New Roman" w:eastAsia="Times New Roman" w:hAnsi="Times New Roman" w:cs="Times New Roman"/>
          <w:b/>
          <w:bCs/>
          <w:color w:val="000000"/>
          <w:sz w:val="26"/>
          <w:szCs w:val="26"/>
          <w:lang w:eastAsia="ru-RU"/>
        </w:rPr>
      </w:pPr>
    </w:p>
    <w:p w:rsidR="00E47ADC" w:rsidRDefault="00E47ADC" w:rsidP="00E47ADC">
      <w:pPr>
        <w:spacing w:after="0" w:line="240" w:lineRule="auto"/>
        <w:jc w:val="center"/>
        <w:rPr>
          <w:rFonts w:ascii="Times New Roman" w:eastAsia="Times New Roman" w:hAnsi="Times New Roman" w:cs="Times New Roman"/>
          <w:b/>
          <w:bCs/>
          <w:color w:val="000000"/>
          <w:sz w:val="26"/>
          <w:szCs w:val="26"/>
          <w:lang w:eastAsia="ru-RU"/>
        </w:rPr>
      </w:pPr>
    </w:p>
    <w:p w:rsidR="00E47ADC" w:rsidRDefault="00E47ADC" w:rsidP="00E47ADC">
      <w:pPr>
        <w:spacing w:after="0" w:line="240" w:lineRule="auto"/>
        <w:jc w:val="center"/>
        <w:rPr>
          <w:rFonts w:ascii="Times New Roman" w:eastAsia="Times New Roman" w:hAnsi="Times New Roman" w:cs="Times New Roman"/>
          <w:b/>
          <w:bCs/>
          <w:color w:val="000000"/>
          <w:sz w:val="26"/>
          <w:szCs w:val="26"/>
          <w:lang w:eastAsia="ru-RU"/>
        </w:rPr>
      </w:pPr>
    </w:p>
    <w:p w:rsidR="00E47ADC" w:rsidRDefault="00E07F11" w:rsidP="00E47ADC">
      <w:pPr>
        <w:spacing w:after="0" w:line="240" w:lineRule="auto"/>
        <w:jc w:val="center"/>
        <w:rPr>
          <w:rFonts w:ascii="Times New Roman" w:eastAsia="Times New Roman" w:hAnsi="Times New Roman" w:cs="Times New Roman"/>
          <w:b/>
          <w:bCs/>
          <w:color w:val="000000"/>
          <w:sz w:val="26"/>
          <w:szCs w:val="26"/>
          <w:lang w:eastAsia="ru-RU"/>
        </w:rPr>
      </w:pPr>
      <w:r w:rsidRPr="00E07F11">
        <w:rPr>
          <w:rFonts w:ascii="Times New Roman" w:eastAsia="Times New Roman" w:hAnsi="Times New Roman" w:cs="Times New Roman"/>
          <w:b/>
          <w:bCs/>
          <w:color w:val="000000"/>
          <w:sz w:val="26"/>
          <w:szCs w:val="26"/>
          <w:lang w:eastAsia="ru-RU"/>
        </w:rPr>
        <w:t xml:space="preserve">Отчет об исполнении сметы расходов (затрат) на проведение </w:t>
      </w:r>
    </w:p>
    <w:p w:rsidR="00E47ADC" w:rsidRDefault="00E07F11" w:rsidP="00E47ADC">
      <w:pPr>
        <w:spacing w:after="0" w:line="240" w:lineRule="auto"/>
        <w:jc w:val="center"/>
        <w:rPr>
          <w:rFonts w:ascii="Times New Roman" w:eastAsia="Times New Roman" w:hAnsi="Times New Roman" w:cs="Times New Roman"/>
          <w:b/>
          <w:bCs/>
          <w:color w:val="000000"/>
          <w:sz w:val="26"/>
          <w:szCs w:val="26"/>
          <w:lang w:eastAsia="ru-RU"/>
        </w:rPr>
      </w:pPr>
      <w:r w:rsidRPr="00E07F11">
        <w:rPr>
          <w:rFonts w:ascii="Times New Roman" w:eastAsia="Times New Roman" w:hAnsi="Times New Roman" w:cs="Times New Roman"/>
          <w:b/>
          <w:bCs/>
          <w:color w:val="000000"/>
          <w:sz w:val="26"/>
          <w:szCs w:val="26"/>
          <w:lang w:eastAsia="ru-RU"/>
        </w:rPr>
        <w:t xml:space="preserve">конкурсного производства в отношении ООО «ТАТАГРОПРОМБАНК» </w:t>
      </w:r>
    </w:p>
    <w:p w:rsidR="00E07F11" w:rsidRPr="00E07F11" w:rsidRDefault="00E07F11" w:rsidP="00E47ADC">
      <w:pPr>
        <w:spacing w:after="0" w:line="240" w:lineRule="auto"/>
        <w:jc w:val="center"/>
        <w:rPr>
          <w:rFonts w:ascii="Times New Roman" w:eastAsia="Times New Roman" w:hAnsi="Times New Roman" w:cs="Times New Roman"/>
          <w:color w:val="000000"/>
          <w:sz w:val="26"/>
          <w:szCs w:val="26"/>
          <w:lang w:eastAsia="ru-RU"/>
        </w:rPr>
      </w:pPr>
      <w:r w:rsidRPr="00E07F11">
        <w:rPr>
          <w:rFonts w:ascii="Times New Roman" w:eastAsia="Times New Roman" w:hAnsi="Times New Roman" w:cs="Times New Roman"/>
          <w:b/>
          <w:bCs/>
          <w:color w:val="000000"/>
          <w:sz w:val="26"/>
          <w:szCs w:val="26"/>
          <w:lang w:eastAsia="ru-RU"/>
        </w:rPr>
        <w:t xml:space="preserve">за период с 22 мая по 31 октября 2017 г. </w:t>
      </w:r>
    </w:p>
    <w:p w:rsidR="00E07F11" w:rsidRPr="00E07F11" w:rsidRDefault="00E07F11" w:rsidP="00E47ADC">
      <w:pPr>
        <w:spacing w:after="0" w:line="240" w:lineRule="auto"/>
        <w:jc w:val="right"/>
        <w:rPr>
          <w:rFonts w:ascii="Times New Roman" w:eastAsia="Times New Roman" w:hAnsi="Times New Roman" w:cs="Times New Roman"/>
          <w:color w:val="000000"/>
          <w:lang w:eastAsia="ru-RU"/>
        </w:rPr>
      </w:pPr>
      <w:r w:rsidRPr="00E07F11">
        <w:rPr>
          <w:rFonts w:ascii="Times New Roman" w:eastAsia="Times New Roman" w:hAnsi="Times New Roman" w:cs="Times New Roman"/>
          <w:color w:val="000000"/>
          <w:lang w:eastAsia="ru-RU"/>
        </w:rPr>
        <w:t>тыс. руб.</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693"/>
        <w:gridCol w:w="4595"/>
        <w:gridCol w:w="1178"/>
        <w:gridCol w:w="1178"/>
        <w:gridCol w:w="1971"/>
      </w:tblGrid>
      <w:tr w:rsidR="00E47ADC" w:rsidRPr="00E07F11" w:rsidTr="00E47ADC">
        <w:trPr>
          <w:tblCellSpacing w:w="20" w:type="dxa"/>
        </w:trPr>
        <w:tc>
          <w:tcPr>
            <w:tcW w:w="329" w:type="pct"/>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b/>
                <w:color w:val="000000"/>
                <w:lang w:eastAsia="ru-RU"/>
              </w:rPr>
            </w:pPr>
            <w:r w:rsidRPr="00E07F11">
              <w:rPr>
                <w:rFonts w:ascii="Times New Roman" w:eastAsia="Times New Roman" w:hAnsi="Times New Roman" w:cs="Times New Roman"/>
                <w:b/>
                <w:color w:val="000000"/>
                <w:lang w:eastAsia="ru-RU"/>
              </w:rPr>
              <w:t>№ п/п</w:t>
            </w:r>
          </w:p>
        </w:tc>
        <w:tc>
          <w:tcPr>
            <w:tcW w:w="2368" w:type="pct"/>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b/>
                <w:color w:val="000000"/>
                <w:lang w:eastAsia="ru-RU"/>
              </w:rPr>
            </w:pPr>
            <w:r w:rsidRPr="00E07F11">
              <w:rPr>
                <w:rFonts w:ascii="Times New Roman" w:eastAsia="Times New Roman" w:hAnsi="Times New Roman" w:cs="Times New Roman"/>
                <w:b/>
                <w:color w:val="000000"/>
                <w:lang w:eastAsia="ru-RU"/>
              </w:rPr>
              <w:t>Перечень расходов и затрат</w:t>
            </w:r>
          </w:p>
        </w:tc>
        <w:tc>
          <w:tcPr>
            <w:tcW w:w="592" w:type="pct"/>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b/>
                <w:color w:val="000000"/>
                <w:lang w:eastAsia="ru-RU"/>
              </w:rPr>
            </w:pPr>
            <w:r w:rsidRPr="00E07F11">
              <w:rPr>
                <w:rFonts w:ascii="Times New Roman" w:eastAsia="Times New Roman" w:hAnsi="Times New Roman" w:cs="Times New Roman"/>
                <w:b/>
                <w:color w:val="000000"/>
                <w:lang w:eastAsia="ru-RU"/>
              </w:rPr>
              <w:t>План</w:t>
            </w:r>
          </w:p>
        </w:tc>
        <w:tc>
          <w:tcPr>
            <w:tcW w:w="592" w:type="pct"/>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b/>
                <w:color w:val="000000"/>
                <w:lang w:eastAsia="ru-RU"/>
              </w:rPr>
            </w:pPr>
            <w:r w:rsidRPr="00E07F11">
              <w:rPr>
                <w:rFonts w:ascii="Times New Roman" w:eastAsia="Times New Roman" w:hAnsi="Times New Roman" w:cs="Times New Roman"/>
                <w:b/>
                <w:color w:val="000000"/>
                <w:lang w:eastAsia="ru-RU"/>
              </w:rPr>
              <w:t>Факт</w:t>
            </w:r>
          </w:p>
        </w:tc>
        <w:tc>
          <w:tcPr>
            <w:tcW w:w="994" w:type="pct"/>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b/>
                <w:color w:val="000000"/>
                <w:lang w:eastAsia="ru-RU"/>
              </w:rPr>
            </w:pPr>
            <w:r w:rsidRPr="00E07F11">
              <w:rPr>
                <w:rFonts w:ascii="Times New Roman" w:eastAsia="Times New Roman" w:hAnsi="Times New Roman" w:cs="Times New Roman"/>
                <w:b/>
                <w:color w:val="000000"/>
                <w:lang w:eastAsia="ru-RU"/>
              </w:rPr>
              <w:t>Экономия (+) / перерасход (-)</w:t>
            </w:r>
          </w:p>
        </w:tc>
      </w:tr>
      <w:tr w:rsidR="00E47ADC" w:rsidRPr="00E07F11" w:rsidTr="00E47ADC">
        <w:trPr>
          <w:tblCellSpacing w:w="20" w:type="dxa"/>
        </w:trPr>
        <w:tc>
          <w:tcPr>
            <w:tcW w:w="329" w:type="pct"/>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color w:val="000000"/>
                <w:lang w:eastAsia="ru-RU"/>
              </w:rPr>
            </w:pPr>
            <w:r w:rsidRPr="00E07F11">
              <w:rPr>
                <w:rFonts w:ascii="Times New Roman" w:eastAsia="Times New Roman" w:hAnsi="Times New Roman" w:cs="Times New Roman"/>
                <w:color w:val="000000"/>
                <w:lang w:eastAsia="ru-RU"/>
              </w:rPr>
              <w:t>1</w:t>
            </w:r>
          </w:p>
        </w:tc>
        <w:tc>
          <w:tcPr>
            <w:tcW w:w="2368" w:type="pct"/>
            <w:tcMar>
              <w:top w:w="75" w:type="dxa"/>
              <w:left w:w="75" w:type="dxa"/>
              <w:bottom w:w="75" w:type="dxa"/>
              <w:right w:w="75" w:type="dxa"/>
            </w:tcMar>
            <w:vAlign w:val="center"/>
            <w:hideMark/>
          </w:tcPr>
          <w:p w:rsidR="00E07F11" w:rsidRPr="00E07F11" w:rsidRDefault="00E07F11" w:rsidP="00E47ADC">
            <w:pPr>
              <w:spacing w:after="0" w:line="240" w:lineRule="auto"/>
              <w:rPr>
                <w:rFonts w:ascii="Times New Roman" w:eastAsia="Times New Roman" w:hAnsi="Times New Roman" w:cs="Times New Roman"/>
                <w:color w:val="000000"/>
                <w:lang w:eastAsia="ru-RU"/>
              </w:rPr>
            </w:pPr>
            <w:r w:rsidRPr="00E07F11">
              <w:rPr>
                <w:rFonts w:ascii="Times New Roman" w:eastAsia="Times New Roman" w:hAnsi="Times New Roman" w:cs="Times New Roman"/>
                <w:color w:val="000000"/>
                <w:lang w:eastAsia="ru-RU"/>
              </w:rPr>
              <w:t>Административно-хозяйственные расходы</w:t>
            </w:r>
          </w:p>
        </w:tc>
        <w:tc>
          <w:tcPr>
            <w:tcW w:w="592" w:type="pct"/>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color w:val="000000"/>
                <w:lang w:eastAsia="ru-RU"/>
              </w:rPr>
            </w:pPr>
            <w:r w:rsidRPr="00E07F11">
              <w:rPr>
                <w:rFonts w:ascii="Times New Roman" w:eastAsia="Times New Roman" w:hAnsi="Times New Roman" w:cs="Times New Roman"/>
                <w:color w:val="000000"/>
                <w:lang w:eastAsia="ru-RU"/>
              </w:rPr>
              <w:t>20 399</w:t>
            </w:r>
          </w:p>
        </w:tc>
        <w:tc>
          <w:tcPr>
            <w:tcW w:w="592" w:type="pct"/>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color w:val="000000"/>
                <w:lang w:eastAsia="ru-RU"/>
              </w:rPr>
            </w:pPr>
            <w:r w:rsidRPr="00E07F11">
              <w:rPr>
                <w:rFonts w:ascii="Times New Roman" w:eastAsia="Times New Roman" w:hAnsi="Times New Roman" w:cs="Times New Roman"/>
                <w:color w:val="000000"/>
                <w:lang w:eastAsia="ru-RU"/>
              </w:rPr>
              <w:t>10 751</w:t>
            </w:r>
          </w:p>
        </w:tc>
        <w:tc>
          <w:tcPr>
            <w:tcW w:w="994" w:type="pct"/>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color w:val="000000"/>
                <w:lang w:eastAsia="ru-RU"/>
              </w:rPr>
            </w:pPr>
            <w:r w:rsidRPr="00E07F11">
              <w:rPr>
                <w:rFonts w:ascii="Times New Roman" w:eastAsia="Times New Roman" w:hAnsi="Times New Roman" w:cs="Times New Roman"/>
                <w:color w:val="000000"/>
                <w:lang w:eastAsia="ru-RU"/>
              </w:rPr>
              <w:t>+9 648</w:t>
            </w:r>
          </w:p>
        </w:tc>
      </w:tr>
      <w:tr w:rsidR="00E47ADC" w:rsidRPr="00E07F11" w:rsidTr="00E47ADC">
        <w:trPr>
          <w:tblCellSpacing w:w="20" w:type="dxa"/>
        </w:trPr>
        <w:tc>
          <w:tcPr>
            <w:tcW w:w="329" w:type="pct"/>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color w:val="000000"/>
                <w:lang w:eastAsia="ru-RU"/>
              </w:rPr>
            </w:pPr>
            <w:r w:rsidRPr="00E07F11">
              <w:rPr>
                <w:rFonts w:ascii="Times New Roman" w:eastAsia="Times New Roman" w:hAnsi="Times New Roman" w:cs="Times New Roman"/>
                <w:color w:val="000000"/>
                <w:lang w:eastAsia="ru-RU"/>
              </w:rPr>
              <w:t>2</w:t>
            </w:r>
          </w:p>
        </w:tc>
        <w:tc>
          <w:tcPr>
            <w:tcW w:w="2368" w:type="pct"/>
            <w:tcMar>
              <w:top w:w="75" w:type="dxa"/>
              <w:left w:w="75" w:type="dxa"/>
              <w:bottom w:w="75" w:type="dxa"/>
              <w:right w:w="75" w:type="dxa"/>
            </w:tcMar>
            <w:vAlign w:val="center"/>
            <w:hideMark/>
          </w:tcPr>
          <w:p w:rsidR="00E07F11" w:rsidRPr="00E07F11" w:rsidRDefault="00E07F11" w:rsidP="00E47ADC">
            <w:pPr>
              <w:spacing w:after="0" w:line="240" w:lineRule="auto"/>
              <w:rPr>
                <w:rFonts w:ascii="Times New Roman" w:eastAsia="Times New Roman" w:hAnsi="Times New Roman" w:cs="Times New Roman"/>
                <w:color w:val="000000"/>
                <w:lang w:eastAsia="ru-RU"/>
              </w:rPr>
            </w:pPr>
            <w:r w:rsidRPr="00E07F11">
              <w:rPr>
                <w:rFonts w:ascii="Times New Roman" w:eastAsia="Times New Roman" w:hAnsi="Times New Roman" w:cs="Times New Roman"/>
                <w:color w:val="000000"/>
                <w:lang w:eastAsia="ru-RU"/>
              </w:rPr>
              <w:t>Расходы на содержание аппарата</w:t>
            </w:r>
          </w:p>
        </w:tc>
        <w:tc>
          <w:tcPr>
            <w:tcW w:w="592" w:type="pct"/>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color w:val="000000"/>
                <w:lang w:eastAsia="ru-RU"/>
              </w:rPr>
            </w:pPr>
            <w:r w:rsidRPr="00E07F11">
              <w:rPr>
                <w:rFonts w:ascii="Times New Roman" w:eastAsia="Times New Roman" w:hAnsi="Times New Roman" w:cs="Times New Roman"/>
                <w:color w:val="000000"/>
                <w:lang w:eastAsia="ru-RU"/>
              </w:rPr>
              <w:t>38 105</w:t>
            </w:r>
          </w:p>
        </w:tc>
        <w:tc>
          <w:tcPr>
            <w:tcW w:w="592" w:type="pct"/>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color w:val="000000"/>
                <w:lang w:eastAsia="ru-RU"/>
              </w:rPr>
            </w:pPr>
            <w:r w:rsidRPr="00E07F11">
              <w:rPr>
                <w:rFonts w:ascii="Times New Roman" w:eastAsia="Times New Roman" w:hAnsi="Times New Roman" w:cs="Times New Roman"/>
                <w:color w:val="000000"/>
                <w:lang w:eastAsia="ru-RU"/>
              </w:rPr>
              <w:t>25 058</w:t>
            </w:r>
          </w:p>
        </w:tc>
        <w:tc>
          <w:tcPr>
            <w:tcW w:w="994" w:type="pct"/>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color w:val="000000"/>
                <w:lang w:eastAsia="ru-RU"/>
              </w:rPr>
            </w:pPr>
            <w:r w:rsidRPr="00E07F11">
              <w:rPr>
                <w:rFonts w:ascii="Times New Roman" w:eastAsia="Times New Roman" w:hAnsi="Times New Roman" w:cs="Times New Roman"/>
                <w:color w:val="000000"/>
                <w:lang w:eastAsia="ru-RU"/>
              </w:rPr>
              <w:t>+13 047</w:t>
            </w:r>
          </w:p>
        </w:tc>
      </w:tr>
      <w:tr w:rsidR="00E47ADC" w:rsidRPr="00E07F11" w:rsidTr="00E47ADC">
        <w:trPr>
          <w:tblCellSpacing w:w="20" w:type="dxa"/>
        </w:trPr>
        <w:tc>
          <w:tcPr>
            <w:tcW w:w="329" w:type="pct"/>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color w:val="000000"/>
                <w:lang w:eastAsia="ru-RU"/>
              </w:rPr>
            </w:pPr>
          </w:p>
        </w:tc>
        <w:tc>
          <w:tcPr>
            <w:tcW w:w="2368" w:type="pct"/>
            <w:tcMar>
              <w:top w:w="75" w:type="dxa"/>
              <w:left w:w="75" w:type="dxa"/>
              <w:bottom w:w="75" w:type="dxa"/>
              <w:right w:w="75" w:type="dxa"/>
            </w:tcMar>
            <w:vAlign w:val="center"/>
            <w:hideMark/>
          </w:tcPr>
          <w:p w:rsidR="00E07F11" w:rsidRPr="00E07F11" w:rsidRDefault="00E07F11" w:rsidP="00E47ADC">
            <w:pPr>
              <w:spacing w:after="0" w:line="240" w:lineRule="auto"/>
              <w:rPr>
                <w:rFonts w:ascii="Times New Roman" w:eastAsia="Times New Roman" w:hAnsi="Times New Roman" w:cs="Times New Roman"/>
                <w:b/>
                <w:color w:val="000000"/>
                <w:lang w:eastAsia="ru-RU"/>
              </w:rPr>
            </w:pPr>
            <w:r w:rsidRPr="00E07F11">
              <w:rPr>
                <w:rFonts w:ascii="Times New Roman" w:eastAsia="Times New Roman" w:hAnsi="Times New Roman" w:cs="Times New Roman"/>
                <w:b/>
                <w:color w:val="000000"/>
                <w:lang w:eastAsia="ru-RU"/>
              </w:rPr>
              <w:t>Итого</w:t>
            </w:r>
          </w:p>
        </w:tc>
        <w:tc>
          <w:tcPr>
            <w:tcW w:w="592" w:type="pct"/>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b/>
                <w:color w:val="000000"/>
                <w:lang w:eastAsia="ru-RU"/>
              </w:rPr>
            </w:pPr>
            <w:r w:rsidRPr="00E07F11">
              <w:rPr>
                <w:rFonts w:ascii="Times New Roman" w:eastAsia="Times New Roman" w:hAnsi="Times New Roman" w:cs="Times New Roman"/>
                <w:b/>
                <w:color w:val="000000"/>
                <w:lang w:eastAsia="ru-RU"/>
              </w:rPr>
              <w:t>58 504</w:t>
            </w:r>
          </w:p>
        </w:tc>
        <w:tc>
          <w:tcPr>
            <w:tcW w:w="592" w:type="pct"/>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b/>
                <w:color w:val="000000"/>
                <w:lang w:eastAsia="ru-RU"/>
              </w:rPr>
            </w:pPr>
            <w:r w:rsidRPr="00E07F11">
              <w:rPr>
                <w:rFonts w:ascii="Times New Roman" w:eastAsia="Times New Roman" w:hAnsi="Times New Roman" w:cs="Times New Roman"/>
                <w:b/>
                <w:color w:val="000000"/>
                <w:lang w:eastAsia="ru-RU"/>
              </w:rPr>
              <w:t>35 809</w:t>
            </w:r>
          </w:p>
        </w:tc>
        <w:tc>
          <w:tcPr>
            <w:tcW w:w="994" w:type="pct"/>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b/>
                <w:color w:val="000000"/>
                <w:lang w:eastAsia="ru-RU"/>
              </w:rPr>
            </w:pPr>
            <w:r w:rsidRPr="00E07F11">
              <w:rPr>
                <w:rFonts w:ascii="Times New Roman" w:eastAsia="Times New Roman" w:hAnsi="Times New Roman" w:cs="Times New Roman"/>
                <w:b/>
                <w:color w:val="000000"/>
                <w:lang w:eastAsia="ru-RU"/>
              </w:rPr>
              <w:t>+22 695*</w:t>
            </w:r>
          </w:p>
        </w:tc>
      </w:tr>
    </w:tbl>
    <w:p w:rsidR="00E07F11" w:rsidRPr="00E07F11" w:rsidRDefault="00E07F11" w:rsidP="00E47ADC">
      <w:pPr>
        <w:spacing w:after="0" w:line="240" w:lineRule="auto"/>
        <w:jc w:val="both"/>
        <w:rPr>
          <w:rFonts w:ascii="Times New Roman" w:eastAsia="Times New Roman" w:hAnsi="Times New Roman" w:cs="Times New Roman"/>
          <w:color w:val="000000"/>
          <w:lang w:eastAsia="ru-RU"/>
        </w:rPr>
      </w:pPr>
      <w:r w:rsidRPr="00E07F11">
        <w:rPr>
          <w:rFonts w:ascii="Times New Roman" w:eastAsia="Times New Roman" w:hAnsi="Times New Roman" w:cs="Times New Roman"/>
          <w:color w:val="000000"/>
          <w:lang w:eastAsia="ru-RU"/>
        </w:rPr>
        <w:t>Примечание: сведения представляются нарастающим итогом с даты начала конкурсного производства по отчетную дату.</w:t>
      </w:r>
    </w:p>
    <w:p w:rsidR="00E07F11" w:rsidRPr="00E07F11" w:rsidRDefault="00E07F11" w:rsidP="00E47ADC">
      <w:pPr>
        <w:spacing w:after="0" w:line="240" w:lineRule="auto"/>
        <w:jc w:val="both"/>
        <w:rPr>
          <w:rFonts w:ascii="Times New Roman" w:eastAsia="Times New Roman" w:hAnsi="Times New Roman" w:cs="Times New Roman"/>
          <w:color w:val="000000"/>
          <w:lang w:eastAsia="ru-RU"/>
        </w:rPr>
      </w:pPr>
      <w:r w:rsidRPr="00E07F11">
        <w:rPr>
          <w:rFonts w:ascii="Times New Roman" w:eastAsia="Times New Roman" w:hAnsi="Times New Roman" w:cs="Times New Roman"/>
          <w:color w:val="000000"/>
          <w:lang w:eastAsia="ru-RU"/>
        </w:rPr>
        <w:t>*Экономия обусловлена переносом планируемых расходов, непроизведенных в период действия смет, в сметы следующего квартала, по причине несвоевременного предоставления контрагентами первичных документов, подтверждающих факт оказания услуг и несвоевременного обращения уволенных работников за пособиями, предусмотренными законодательством.</w:t>
      </w:r>
    </w:p>
    <w:p w:rsidR="00E47ADC" w:rsidRDefault="00E47ADC" w:rsidP="00E47ADC">
      <w:pPr>
        <w:spacing w:after="0" w:line="240" w:lineRule="auto"/>
        <w:jc w:val="both"/>
        <w:rPr>
          <w:rFonts w:ascii="Times New Roman" w:eastAsia="Times New Roman" w:hAnsi="Times New Roman" w:cs="Times New Roman"/>
          <w:b/>
          <w:bCs/>
          <w:color w:val="000000"/>
          <w:sz w:val="26"/>
          <w:szCs w:val="26"/>
          <w:lang w:eastAsia="ru-RU"/>
        </w:rPr>
      </w:pPr>
    </w:p>
    <w:p w:rsidR="00E47ADC" w:rsidRDefault="00E07F11" w:rsidP="00E47ADC">
      <w:pPr>
        <w:spacing w:after="0" w:line="240" w:lineRule="auto"/>
        <w:jc w:val="center"/>
        <w:rPr>
          <w:rFonts w:ascii="Times New Roman" w:eastAsia="Times New Roman" w:hAnsi="Times New Roman" w:cs="Times New Roman"/>
          <w:b/>
          <w:bCs/>
          <w:color w:val="000000"/>
          <w:sz w:val="26"/>
          <w:szCs w:val="26"/>
          <w:lang w:eastAsia="ru-RU"/>
        </w:rPr>
      </w:pPr>
      <w:r w:rsidRPr="00E07F11">
        <w:rPr>
          <w:rFonts w:ascii="Times New Roman" w:eastAsia="Times New Roman" w:hAnsi="Times New Roman" w:cs="Times New Roman"/>
          <w:b/>
          <w:bCs/>
          <w:color w:val="000000"/>
          <w:sz w:val="26"/>
          <w:szCs w:val="26"/>
          <w:lang w:eastAsia="ru-RU"/>
        </w:rPr>
        <w:t xml:space="preserve">Сведения о стоимости нереализованного имущества </w:t>
      </w:r>
    </w:p>
    <w:p w:rsidR="00E47ADC" w:rsidRDefault="00E07F11" w:rsidP="00E47ADC">
      <w:pPr>
        <w:spacing w:after="0" w:line="240" w:lineRule="auto"/>
        <w:jc w:val="center"/>
        <w:rPr>
          <w:rFonts w:ascii="Times New Roman" w:eastAsia="Times New Roman" w:hAnsi="Times New Roman" w:cs="Times New Roman"/>
          <w:b/>
          <w:bCs/>
          <w:color w:val="000000"/>
          <w:sz w:val="26"/>
          <w:szCs w:val="26"/>
          <w:lang w:eastAsia="ru-RU"/>
        </w:rPr>
      </w:pPr>
      <w:r w:rsidRPr="00E07F11">
        <w:rPr>
          <w:rFonts w:ascii="Times New Roman" w:eastAsia="Times New Roman" w:hAnsi="Times New Roman" w:cs="Times New Roman"/>
          <w:b/>
          <w:bCs/>
          <w:color w:val="000000"/>
          <w:sz w:val="26"/>
          <w:szCs w:val="26"/>
          <w:lang w:eastAsia="ru-RU"/>
        </w:rPr>
        <w:t>ООО «ТАТАГРОПРОМБАНК»</w:t>
      </w:r>
      <w:r w:rsidR="00E47ADC">
        <w:rPr>
          <w:rFonts w:ascii="Times New Roman" w:eastAsia="Times New Roman" w:hAnsi="Times New Roman" w:cs="Times New Roman"/>
          <w:b/>
          <w:bCs/>
          <w:color w:val="000000"/>
          <w:sz w:val="26"/>
          <w:szCs w:val="26"/>
          <w:lang w:eastAsia="ru-RU"/>
        </w:rPr>
        <w:t xml:space="preserve"> </w:t>
      </w:r>
      <w:r w:rsidRPr="00E07F11">
        <w:rPr>
          <w:rFonts w:ascii="Times New Roman" w:eastAsia="Times New Roman" w:hAnsi="Times New Roman" w:cs="Times New Roman"/>
          <w:b/>
          <w:bCs/>
          <w:color w:val="000000"/>
          <w:sz w:val="26"/>
          <w:szCs w:val="26"/>
          <w:lang w:eastAsia="ru-RU"/>
        </w:rPr>
        <w:t xml:space="preserve">по состоянию на 1 ноября 2017 г. </w:t>
      </w:r>
    </w:p>
    <w:p w:rsidR="00E07F11" w:rsidRPr="00E07F11" w:rsidRDefault="00E07F11" w:rsidP="00E47ADC">
      <w:pPr>
        <w:spacing w:after="0" w:line="240" w:lineRule="auto"/>
        <w:jc w:val="right"/>
        <w:rPr>
          <w:rFonts w:ascii="Times New Roman" w:eastAsia="Times New Roman" w:hAnsi="Times New Roman" w:cs="Times New Roman"/>
          <w:color w:val="000000"/>
          <w:lang w:eastAsia="ru-RU"/>
        </w:rPr>
      </w:pPr>
      <w:r w:rsidRPr="00E07F11">
        <w:rPr>
          <w:rFonts w:ascii="Times New Roman" w:eastAsia="Times New Roman" w:hAnsi="Times New Roman" w:cs="Times New Roman"/>
          <w:bCs/>
          <w:color w:val="000000"/>
          <w:lang w:eastAsia="ru-RU"/>
        </w:rPr>
        <w:t>тыс. руб.</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710"/>
        <w:gridCol w:w="4910"/>
        <w:gridCol w:w="1997"/>
        <w:gridCol w:w="1998"/>
      </w:tblGrid>
      <w:tr w:rsidR="00E07F11" w:rsidRPr="00E07F11" w:rsidTr="00E47ADC">
        <w:trPr>
          <w:tblCellSpacing w:w="20" w:type="dxa"/>
        </w:trPr>
        <w:tc>
          <w:tcPr>
            <w:tcW w:w="0" w:type="auto"/>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b/>
                <w:color w:val="000000"/>
                <w:lang w:eastAsia="ru-RU"/>
              </w:rPr>
            </w:pPr>
            <w:r w:rsidRPr="00E07F11">
              <w:rPr>
                <w:rFonts w:ascii="Times New Roman" w:eastAsia="Times New Roman" w:hAnsi="Times New Roman" w:cs="Times New Roman"/>
                <w:b/>
                <w:color w:val="000000"/>
                <w:lang w:eastAsia="ru-RU"/>
              </w:rPr>
              <w:t>№ п/п</w:t>
            </w:r>
          </w:p>
        </w:tc>
        <w:tc>
          <w:tcPr>
            <w:tcW w:w="0" w:type="auto"/>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b/>
                <w:color w:val="000000"/>
                <w:lang w:eastAsia="ru-RU"/>
              </w:rPr>
            </w:pPr>
            <w:r w:rsidRPr="00E07F11">
              <w:rPr>
                <w:rFonts w:ascii="Times New Roman" w:eastAsia="Times New Roman" w:hAnsi="Times New Roman" w:cs="Times New Roman"/>
                <w:b/>
                <w:color w:val="000000"/>
                <w:lang w:eastAsia="ru-RU"/>
              </w:rPr>
              <w:t>Наименование имущества (дебитора)</w:t>
            </w:r>
          </w:p>
        </w:tc>
        <w:tc>
          <w:tcPr>
            <w:tcW w:w="1957" w:type="dxa"/>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b/>
                <w:color w:val="000000"/>
                <w:lang w:eastAsia="ru-RU"/>
              </w:rPr>
            </w:pPr>
            <w:r w:rsidRPr="00E07F11">
              <w:rPr>
                <w:rFonts w:ascii="Times New Roman" w:eastAsia="Times New Roman" w:hAnsi="Times New Roman" w:cs="Times New Roman"/>
                <w:b/>
                <w:color w:val="000000"/>
                <w:lang w:eastAsia="ru-RU"/>
              </w:rPr>
              <w:t>Балансовая стоимость</w:t>
            </w:r>
          </w:p>
        </w:tc>
        <w:tc>
          <w:tcPr>
            <w:tcW w:w="1938" w:type="dxa"/>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b/>
                <w:color w:val="000000"/>
                <w:lang w:eastAsia="ru-RU"/>
              </w:rPr>
            </w:pPr>
            <w:r w:rsidRPr="00E07F11">
              <w:rPr>
                <w:rFonts w:ascii="Times New Roman" w:eastAsia="Times New Roman" w:hAnsi="Times New Roman" w:cs="Times New Roman"/>
                <w:b/>
                <w:color w:val="000000"/>
                <w:lang w:eastAsia="ru-RU"/>
              </w:rPr>
              <w:t>Оценочная стоимость</w:t>
            </w:r>
          </w:p>
        </w:tc>
      </w:tr>
      <w:tr w:rsidR="00E07F11" w:rsidRPr="00E07F11" w:rsidTr="00E47ADC">
        <w:trPr>
          <w:tblCellSpacing w:w="20" w:type="dxa"/>
        </w:trPr>
        <w:tc>
          <w:tcPr>
            <w:tcW w:w="0" w:type="auto"/>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color w:val="000000"/>
                <w:lang w:eastAsia="ru-RU"/>
              </w:rPr>
            </w:pPr>
            <w:r w:rsidRPr="00E07F11">
              <w:rPr>
                <w:rFonts w:ascii="Times New Roman" w:eastAsia="Times New Roman" w:hAnsi="Times New Roman" w:cs="Times New Roman"/>
                <w:color w:val="000000"/>
                <w:lang w:eastAsia="ru-RU"/>
              </w:rPr>
              <w:t>1</w:t>
            </w:r>
          </w:p>
        </w:tc>
        <w:tc>
          <w:tcPr>
            <w:tcW w:w="0" w:type="auto"/>
            <w:tcMar>
              <w:top w:w="75" w:type="dxa"/>
              <w:left w:w="75" w:type="dxa"/>
              <w:bottom w:w="75" w:type="dxa"/>
              <w:right w:w="75" w:type="dxa"/>
            </w:tcMar>
            <w:vAlign w:val="center"/>
            <w:hideMark/>
          </w:tcPr>
          <w:p w:rsidR="00E07F11" w:rsidRPr="00E07F11" w:rsidRDefault="00E07F11" w:rsidP="00E47ADC">
            <w:pPr>
              <w:spacing w:after="0" w:line="240" w:lineRule="auto"/>
              <w:rPr>
                <w:rFonts w:ascii="Times New Roman" w:eastAsia="Times New Roman" w:hAnsi="Times New Roman" w:cs="Times New Roman"/>
                <w:color w:val="000000"/>
                <w:lang w:eastAsia="ru-RU"/>
              </w:rPr>
            </w:pPr>
            <w:r w:rsidRPr="00E07F11">
              <w:rPr>
                <w:rFonts w:ascii="Times New Roman" w:eastAsia="Times New Roman" w:hAnsi="Times New Roman" w:cs="Times New Roman"/>
                <w:color w:val="000000"/>
                <w:lang w:eastAsia="ru-RU"/>
              </w:rPr>
              <w:t>Доля участия в УК организации (ООО «ТАПБ Инвестиции»)</w:t>
            </w:r>
          </w:p>
        </w:tc>
        <w:tc>
          <w:tcPr>
            <w:tcW w:w="1957" w:type="dxa"/>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color w:val="000000"/>
                <w:lang w:eastAsia="ru-RU"/>
              </w:rPr>
            </w:pPr>
            <w:r w:rsidRPr="00E07F11">
              <w:rPr>
                <w:rFonts w:ascii="Times New Roman" w:eastAsia="Times New Roman" w:hAnsi="Times New Roman" w:cs="Times New Roman"/>
                <w:color w:val="000000"/>
                <w:lang w:eastAsia="ru-RU"/>
              </w:rPr>
              <w:t>18 142</w:t>
            </w:r>
          </w:p>
        </w:tc>
        <w:tc>
          <w:tcPr>
            <w:tcW w:w="1938" w:type="dxa"/>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color w:val="000000"/>
                <w:lang w:eastAsia="ru-RU"/>
              </w:rPr>
            </w:pPr>
            <w:r w:rsidRPr="00E07F11">
              <w:rPr>
                <w:rFonts w:ascii="Times New Roman" w:eastAsia="Times New Roman" w:hAnsi="Times New Roman" w:cs="Times New Roman"/>
                <w:color w:val="000000"/>
                <w:lang w:eastAsia="ru-RU"/>
              </w:rPr>
              <w:t>4 110</w:t>
            </w:r>
          </w:p>
        </w:tc>
      </w:tr>
      <w:tr w:rsidR="00E07F11" w:rsidRPr="00E07F11" w:rsidTr="00E47ADC">
        <w:trPr>
          <w:tblCellSpacing w:w="20" w:type="dxa"/>
        </w:trPr>
        <w:tc>
          <w:tcPr>
            <w:tcW w:w="0" w:type="auto"/>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color w:val="000000"/>
                <w:lang w:eastAsia="ru-RU"/>
              </w:rPr>
            </w:pPr>
            <w:r w:rsidRPr="00E07F11">
              <w:rPr>
                <w:rFonts w:ascii="Times New Roman" w:eastAsia="Times New Roman" w:hAnsi="Times New Roman" w:cs="Times New Roman"/>
                <w:color w:val="000000"/>
                <w:lang w:eastAsia="ru-RU"/>
              </w:rPr>
              <w:t>2</w:t>
            </w:r>
          </w:p>
        </w:tc>
        <w:tc>
          <w:tcPr>
            <w:tcW w:w="0" w:type="auto"/>
            <w:tcMar>
              <w:top w:w="75" w:type="dxa"/>
              <w:left w:w="75" w:type="dxa"/>
              <w:bottom w:w="75" w:type="dxa"/>
              <w:right w:w="75" w:type="dxa"/>
            </w:tcMar>
            <w:vAlign w:val="center"/>
            <w:hideMark/>
          </w:tcPr>
          <w:p w:rsidR="00E07F11" w:rsidRPr="00E07F11" w:rsidRDefault="00E07F11" w:rsidP="00E47ADC">
            <w:pPr>
              <w:spacing w:after="0" w:line="240" w:lineRule="auto"/>
              <w:rPr>
                <w:rFonts w:ascii="Times New Roman" w:eastAsia="Times New Roman" w:hAnsi="Times New Roman" w:cs="Times New Roman"/>
                <w:color w:val="000000"/>
                <w:lang w:eastAsia="ru-RU"/>
              </w:rPr>
            </w:pPr>
            <w:r w:rsidRPr="00E07F11">
              <w:rPr>
                <w:rFonts w:ascii="Times New Roman" w:eastAsia="Times New Roman" w:hAnsi="Times New Roman" w:cs="Times New Roman"/>
                <w:color w:val="000000"/>
                <w:lang w:eastAsia="ru-RU"/>
              </w:rPr>
              <w:t>Кредиты предприятиям и организациям</w:t>
            </w:r>
          </w:p>
        </w:tc>
        <w:tc>
          <w:tcPr>
            <w:tcW w:w="1957" w:type="dxa"/>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color w:val="000000"/>
                <w:lang w:eastAsia="ru-RU"/>
              </w:rPr>
            </w:pPr>
            <w:r w:rsidRPr="00E07F11">
              <w:rPr>
                <w:rFonts w:ascii="Times New Roman" w:eastAsia="Times New Roman" w:hAnsi="Times New Roman" w:cs="Times New Roman"/>
                <w:color w:val="000000"/>
                <w:lang w:eastAsia="ru-RU"/>
              </w:rPr>
              <w:t>547 989</w:t>
            </w:r>
          </w:p>
        </w:tc>
        <w:tc>
          <w:tcPr>
            <w:tcW w:w="1938" w:type="dxa"/>
            <w:vMerge w:val="restart"/>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color w:val="000000"/>
                <w:lang w:eastAsia="ru-RU"/>
              </w:rPr>
            </w:pPr>
            <w:r w:rsidRPr="00E07F11">
              <w:rPr>
                <w:rFonts w:ascii="Times New Roman" w:eastAsia="Times New Roman" w:hAnsi="Times New Roman" w:cs="Times New Roman"/>
                <w:color w:val="000000"/>
                <w:lang w:eastAsia="ru-RU"/>
              </w:rPr>
              <w:t>Оценка не проводилась</w:t>
            </w:r>
          </w:p>
        </w:tc>
      </w:tr>
      <w:tr w:rsidR="00E07F11" w:rsidRPr="00E07F11" w:rsidTr="00E47ADC">
        <w:trPr>
          <w:tblCellSpacing w:w="20" w:type="dxa"/>
        </w:trPr>
        <w:tc>
          <w:tcPr>
            <w:tcW w:w="0" w:type="auto"/>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color w:val="000000"/>
                <w:lang w:eastAsia="ru-RU"/>
              </w:rPr>
            </w:pPr>
            <w:r w:rsidRPr="00E07F11">
              <w:rPr>
                <w:rFonts w:ascii="Times New Roman" w:eastAsia="Times New Roman" w:hAnsi="Times New Roman" w:cs="Times New Roman"/>
                <w:color w:val="000000"/>
                <w:lang w:eastAsia="ru-RU"/>
              </w:rPr>
              <w:t>3</w:t>
            </w:r>
          </w:p>
        </w:tc>
        <w:tc>
          <w:tcPr>
            <w:tcW w:w="0" w:type="auto"/>
            <w:tcMar>
              <w:top w:w="75" w:type="dxa"/>
              <w:left w:w="75" w:type="dxa"/>
              <w:bottom w:w="75" w:type="dxa"/>
              <w:right w:w="75" w:type="dxa"/>
            </w:tcMar>
            <w:vAlign w:val="center"/>
            <w:hideMark/>
          </w:tcPr>
          <w:p w:rsidR="00E07F11" w:rsidRPr="00E07F11" w:rsidRDefault="00E07F11" w:rsidP="00E47ADC">
            <w:pPr>
              <w:spacing w:after="0" w:line="240" w:lineRule="auto"/>
              <w:rPr>
                <w:rFonts w:ascii="Times New Roman" w:eastAsia="Times New Roman" w:hAnsi="Times New Roman" w:cs="Times New Roman"/>
                <w:color w:val="000000"/>
                <w:lang w:eastAsia="ru-RU"/>
              </w:rPr>
            </w:pPr>
            <w:r w:rsidRPr="00E07F11">
              <w:rPr>
                <w:rFonts w:ascii="Times New Roman" w:eastAsia="Times New Roman" w:hAnsi="Times New Roman" w:cs="Times New Roman"/>
                <w:color w:val="000000"/>
                <w:lang w:eastAsia="ru-RU"/>
              </w:rPr>
              <w:t>Кредиты физическим лицам</w:t>
            </w:r>
          </w:p>
        </w:tc>
        <w:tc>
          <w:tcPr>
            <w:tcW w:w="1957" w:type="dxa"/>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color w:val="000000"/>
                <w:lang w:eastAsia="ru-RU"/>
              </w:rPr>
            </w:pPr>
            <w:r w:rsidRPr="00E07F11">
              <w:rPr>
                <w:rFonts w:ascii="Times New Roman" w:eastAsia="Times New Roman" w:hAnsi="Times New Roman" w:cs="Times New Roman"/>
                <w:color w:val="000000"/>
                <w:lang w:eastAsia="ru-RU"/>
              </w:rPr>
              <w:t>84 281</w:t>
            </w:r>
          </w:p>
        </w:tc>
        <w:tc>
          <w:tcPr>
            <w:tcW w:w="1938" w:type="dxa"/>
            <w:vMerge/>
            <w:vAlign w:val="center"/>
            <w:hideMark/>
          </w:tcPr>
          <w:p w:rsidR="00E07F11" w:rsidRPr="00E07F11" w:rsidRDefault="00E07F11" w:rsidP="00E47ADC">
            <w:pPr>
              <w:spacing w:after="0" w:line="240" w:lineRule="auto"/>
              <w:jc w:val="center"/>
              <w:rPr>
                <w:rFonts w:ascii="Times New Roman" w:eastAsia="Times New Roman" w:hAnsi="Times New Roman" w:cs="Times New Roman"/>
                <w:color w:val="000000"/>
                <w:lang w:eastAsia="ru-RU"/>
              </w:rPr>
            </w:pPr>
          </w:p>
        </w:tc>
      </w:tr>
      <w:tr w:rsidR="00E07F11" w:rsidRPr="00E07F11" w:rsidTr="00E47ADC">
        <w:trPr>
          <w:tblCellSpacing w:w="20" w:type="dxa"/>
        </w:trPr>
        <w:tc>
          <w:tcPr>
            <w:tcW w:w="0" w:type="auto"/>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color w:val="000000"/>
                <w:lang w:eastAsia="ru-RU"/>
              </w:rPr>
            </w:pPr>
            <w:r w:rsidRPr="00E07F11">
              <w:rPr>
                <w:rFonts w:ascii="Times New Roman" w:eastAsia="Times New Roman" w:hAnsi="Times New Roman" w:cs="Times New Roman"/>
                <w:color w:val="000000"/>
                <w:lang w:eastAsia="ru-RU"/>
              </w:rPr>
              <w:t>4</w:t>
            </w:r>
          </w:p>
        </w:tc>
        <w:tc>
          <w:tcPr>
            <w:tcW w:w="0" w:type="auto"/>
            <w:tcMar>
              <w:top w:w="75" w:type="dxa"/>
              <w:left w:w="75" w:type="dxa"/>
              <w:bottom w:w="75" w:type="dxa"/>
              <w:right w:w="75" w:type="dxa"/>
            </w:tcMar>
            <w:vAlign w:val="center"/>
            <w:hideMark/>
          </w:tcPr>
          <w:p w:rsidR="00E07F11" w:rsidRPr="00E07F11" w:rsidRDefault="00E07F11" w:rsidP="00E47ADC">
            <w:pPr>
              <w:spacing w:after="0" w:line="240" w:lineRule="auto"/>
              <w:rPr>
                <w:rFonts w:ascii="Times New Roman" w:eastAsia="Times New Roman" w:hAnsi="Times New Roman" w:cs="Times New Roman"/>
                <w:color w:val="000000"/>
                <w:lang w:eastAsia="ru-RU"/>
              </w:rPr>
            </w:pPr>
            <w:r w:rsidRPr="00E07F11">
              <w:rPr>
                <w:rFonts w:ascii="Times New Roman" w:eastAsia="Times New Roman" w:hAnsi="Times New Roman" w:cs="Times New Roman"/>
                <w:color w:val="000000"/>
                <w:lang w:eastAsia="ru-RU"/>
              </w:rPr>
              <w:t>Кредиты банкам</w:t>
            </w:r>
          </w:p>
        </w:tc>
        <w:tc>
          <w:tcPr>
            <w:tcW w:w="1957" w:type="dxa"/>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color w:val="000000"/>
                <w:lang w:eastAsia="ru-RU"/>
              </w:rPr>
            </w:pPr>
            <w:r w:rsidRPr="00E07F11">
              <w:rPr>
                <w:rFonts w:ascii="Times New Roman" w:eastAsia="Times New Roman" w:hAnsi="Times New Roman" w:cs="Times New Roman"/>
                <w:color w:val="000000"/>
                <w:lang w:eastAsia="ru-RU"/>
              </w:rPr>
              <w:t>847 768</w:t>
            </w:r>
          </w:p>
        </w:tc>
        <w:tc>
          <w:tcPr>
            <w:tcW w:w="1938" w:type="dxa"/>
            <w:vMerge/>
            <w:vAlign w:val="center"/>
            <w:hideMark/>
          </w:tcPr>
          <w:p w:rsidR="00E07F11" w:rsidRPr="00E07F11" w:rsidRDefault="00E07F11" w:rsidP="00E47ADC">
            <w:pPr>
              <w:spacing w:after="0" w:line="240" w:lineRule="auto"/>
              <w:jc w:val="center"/>
              <w:rPr>
                <w:rFonts w:ascii="Times New Roman" w:eastAsia="Times New Roman" w:hAnsi="Times New Roman" w:cs="Times New Roman"/>
                <w:color w:val="000000"/>
                <w:lang w:eastAsia="ru-RU"/>
              </w:rPr>
            </w:pPr>
          </w:p>
        </w:tc>
      </w:tr>
      <w:tr w:rsidR="00E07F11" w:rsidRPr="00E07F11" w:rsidTr="00E47ADC">
        <w:trPr>
          <w:tblCellSpacing w:w="20" w:type="dxa"/>
        </w:trPr>
        <w:tc>
          <w:tcPr>
            <w:tcW w:w="0" w:type="auto"/>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color w:val="000000"/>
                <w:lang w:eastAsia="ru-RU"/>
              </w:rPr>
            </w:pPr>
            <w:r w:rsidRPr="00E07F11">
              <w:rPr>
                <w:rFonts w:ascii="Times New Roman" w:eastAsia="Times New Roman" w:hAnsi="Times New Roman" w:cs="Times New Roman"/>
                <w:color w:val="000000"/>
                <w:lang w:eastAsia="ru-RU"/>
              </w:rPr>
              <w:t>5</w:t>
            </w:r>
          </w:p>
        </w:tc>
        <w:tc>
          <w:tcPr>
            <w:tcW w:w="0" w:type="auto"/>
            <w:tcMar>
              <w:top w:w="75" w:type="dxa"/>
              <w:left w:w="75" w:type="dxa"/>
              <w:bottom w:w="75" w:type="dxa"/>
              <w:right w:w="75" w:type="dxa"/>
            </w:tcMar>
            <w:vAlign w:val="center"/>
            <w:hideMark/>
          </w:tcPr>
          <w:p w:rsidR="00E07F11" w:rsidRPr="00E07F11" w:rsidRDefault="00E07F11" w:rsidP="00E47ADC">
            <w:pPr>
              <w:spacing w:after="0" w:line="240" w:lineRule="auto"/>
              <w:rPr>
                <w:rFonts w:ascii="Times New Roman" w:eastAsia="Times New Roman" w:hAnsi="Times New Roman" w:cs="Times New Roman"/>
                <w:color w:val="000000"/>
                <w:lang w:eastAsia="ru-RU"/>
              </w:rPr>
            </w:pPr>
            <w:r w:rsidRPr="00E07F11">
              <w:rPr>
                <w:rFonts w:ascii="Times New Roman" w:eastAsia="Times New Roman" w:hAnsi="Times New Roman" w:cs="Times New Roman"/>
                <w:color w:val="000000"/>
                <w:lang w:eastAsia="ru-RU"/>
              </w:rPr>
              <w:t>Основные средства и хозяйственные затраты (за исключением амортизации)</w:t>
            </w:r>
          </w:p>
        </w:tc>
        <w:tc>
          <w:tcPr>
            <w:tcW w:w="1957" w:type="dxa"/>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color w:val="000000"/>
                <w:lang w:eastAsia="ru-RU"/>
              </w:rPr>
            </w:pPr>
            <w:r w:rsidRPr="00E07F11">
              <w:rPr>
                <w:rFonts w:ascii="Times New Roman" w:eastAsia="Times New Roman" w:hAnsi="Times New Roman" w:cs="Times New Roman"/>
                <w:color w:val="000000"/>
                <w:lang w:eastAsia="ru-RU"/>
              </w:rPr>
              <w:t>315 589</w:t>
            </w:r>
          </w:p>
        </w:tc>
        <w:tc>
          <w:tcPr>
            <w:tcW w:w="1938" w:type="dxa"/>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color w:val="000000"/>
                <w:lang w:eastAsia="ru-RU"/>
              </w:rPr>
            </w:pPr>
            <w:r w:rsidRPr="00E07F11">
              <w:rPr>
                <w:rFonts w:ascii="Times New Roman" w:eastAsia="Times New Roman" w:hAnsi="Times New Roman" w:cs="Times New Roman"/>
                <w:color w:val="000000"/>
                <w:lang w:eastAsia="ru-RU"/>
              </w:rPr>
              <w:t>189 822*</w:t>
            </w:r>
          </w:p>
        </w:tc>
      </w:tr>
      <w:tr w:rsidR="00E07F11" w:rsidRPr="00E07F11" w:rsidTr="00E47ADC">
        <w:trPr>
          <w:tblCellSpacing w:w="20" w:type="dxa"/>
        </w:trPr>
        <w:tc>
          <w:tcPr>
            <w:tcW w:w="0" w:type="auto"/>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color w:val="000000"/>
                <w:lang w:eastAsia="ru-RU"/>
              </w:rPr>
            </w:pPr>
            <w:r w:rsidRPr="00E07F11">
              <w:rPr>
                <w:rFonts w:ascii="Times New Roman" w:eastAsia="Times New Roman" w:hAnsi="Times New Roman" w:cs="Times New Roman"/>
                <w:color w:val="000000"/>
                <w:lang w:eastAsia="ru-RU"/>
              </w:rPr>
              <w:t>6</w:t>
            </w:r>
          </w:p>
        </w:tc>
        <w:tc>
          <w:tcPr>
            <w:tcW w:w="0" w:type="auto"/>
            <w:tcMar>
              <w:top w:w="75" w:type="dxa"/>
              <w:left w:w="75" w:type="dxa"/>
              <w:bottom w:w="75" w:type="dxa"/>
              <w:right w:w="75" w:type="dxa"/>
            </w:tcMar>
            <w:vAlign w:val="center"/>
            <w:hideMark/>
          </w:tcPr>
          <w:p w:rsidR="00E07F11" w:rsidRPr="00E07F11" w:rsidRDefault="00E07F11" w:rsidP="00E47ADC">
            <w:pPr>
              <w:spacing w:after="0" w:line="240" w:lineRule="auto"/>
              <w:rPr>
                <w:rFonts w:ascii="Times New Roman" w:eastAsia="Times New Roman" w:hAnsi="Times New Roman" w:cs="Times New Roman"/>
                <w:color w:val="000000"/>
                <w:lang w:eastAsia="ru-RU"/>
              </w:rPr>
            </w:pPr>
            <w:r w:rsidRPr="00E07F11">
              <w:rPr>
                <w:rFonts w:ascii="Times New Roman" w:eastAsia="Times New Roman" w:hAnsi="Times New Roman" w:cs="Times New Roman"/>
                <w:color w:val="000000"/>
                <w:lang w:eastAsia="ru-RU"/>
              </w:rPr>
              <w:t>Прочие активы</w:t>
            </w:r>
          </w:p>
        </w:tc>
        <w:tc>
          <w:tcPr>
            <w:tcW w:w="1957" w:type="dxa"/>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color w:val="000000"/>
                <w:lang w:eastAsia="ru-RU"/>
              </w:rPr>
            </w:pPr>
            <w:r w:rsidRPr="00E07F11">
              <w:rPr>
                <w:rFonts w:ascii="Times New Roman" w:eastAsia="Times New Roman" w:hAnsi="Times New Roman" w:cs="Times New Roman"/>
                <w:color w:val="000000"/>
                <w:lang w:eastAsia="ru-RU"/>
              </w:rPr>
              <w:t>532 574**</w:t>
            </w:r>
          </w:p>
        </w:tc>
        <w:tc>
          <w:tcPr>
            <w:tcW w:w="1938" w:type="dxa"/>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color w:val="000000"/>
                <w:lang w:eastAsia="ru-RU"/>
              </w:rPr>
            </w:pPr>
            <w:r w:rsidRPr="00E07F11">
              <w:rPr>
                <w:rFonts w:ascii="Times New Roman" w:eastAsia="Times New Roman" w:hAnsi="Times New Roman" w:cs="Times New Roman"/>
                <w:color w:val="000000"/>
                <w:lang w:eastAsia="ru-RU"/>
              </w:rPr>
              <w:t>Оценка не проводилась</w:t>
            </w:r>
          </w:p>
        </w:tc>
      </w:tr>
      <w:tr w:rsidR="00E07F11" w:rsidRPr="00E07F11" w:rsidTr="00E47ADC">
        <w:trPr>
          <w:tblCellSpacing w:w="20" w:type="dxa"/>
        </w:trPr>
        <w:tc>
          <w:tcPr>
            <w:tcW w:w="0" w:type="auto"/>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color w:val="000000"/>
                <w:lang w:eastAsia="ru-RU"/>
              </w:rPr>
            </w:pPr>
          </w:p>
        </w:tc>
        <w:tc>
          <w:tcPr>
            <w:tcW w:w="0" w:type="auto"/>
            <w:tcMar>
              <w:top w:w="75" w:type="dxa"/>
              <w:left w:w="75" w:type="dxa"/>
              <w:bottom w:w="75" w:type="dxa"/>
              <w:right w:w="75" w:type="dxa"/>
            </w:tcMar>
            <w:vAlign w:val="center"/>
            <w:hideMark/>
          </w:tcPr>
          <w:p w:rsidR="00E07F11" w:rsidRPr="00E07F11" w:rsidRDefault="00E47ADC" w:rsidP="00E47ADC">
            <w:pPr>
              <w:spacing w:after="0" w:line="240" w:lineRule="auto"/>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Итого</w:t>
            </w:r>
          </w:p>
        </w:tc>
        <w:tc>
          <w:tcPr>
            <w:tcW w:w="1957" w:type="dxa"/>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b/>
                <w:color w:val="000000"/>
                <w:lang w:eastAsia="ru-RU"/>
              </w:rPr>
            </w:pPr>
            <w:r w:rsidRPr="00E07F11">
              <w:rPr>
                <w:rFonts w:ascii="Times New Roman" w:eastAsia="Times New Roman" w:hAnsi="Times New Roman" w:cs="Times New Roman"/>
                <w:b/>
                <w:color w:val="000000"/>
                <w:lang w:eastAsia="ru-RU"/>
              </w:rPr>
              <w:t>2 346 343</w:t>
            </w:r>
          </w:p>
        </w:tc>
        <w:tc>
          <w:tcPr>
            <w:tcW w:w="1938" w:type="dxa"/>
            <w:tcMar>
              <w:top w:w="75" w:type="dxa"/>
              <w:left w:w="75" w:type="dxa"/>
              <w:bottom w:w="75" w:type="dxa"/>
              <w:right w:w="75" w:type="dxa"/>
            </w:tcMar>
            <w:vAlign w:val="center"/>
            <w:hideMark/>
          </w:tcPr>
          <w:p w:rsidR="00E07F11" w:rsidRPr="00E07F11" w:rsidRDefault="00E07F11" w:rsidP="00E47ADC">
            <w:pPr>
              <w:spacing w:after="0" w:line="240" w:lineRule="auto"/>
              <w:jc w:val="center"/>
              <w:rPr>
                <w:rFonts w:ascii="Times New Roman" w:eastAsia="Times New Roman" w:hAnsi="Times New Roman" w:cs="Times New Roman"/>
                <w:b/>
                <w:color w:val="000000"/>
                <w:lang w:eastAsia="ru-RU"/>
              </w:rPr>
            </w:pPr>
            <w:r w:rsidRPr="00E07F11">
              <w:rPr>
                <w:rFonts w:ascii="Times New Roman" w:eastAsia="Times New Roman" w:hAnsi="Times New Roman" w:cs="Times New Roman"/>
                <w:b/>
                <w:color w:val="000000"/>
                <w:lang w:eastAsia="ru-RU"/>
              </w:rPr>
              <w:t>193 932</w:t>
            </w:r>
          </w:p>
        </w:tc>
      </w:tr>
    </w:tbl>
    <w:p w:rsidR="00E07F11" w:rsidRPr="00E07F11" w:rsidRDefault="00E07F11" w:rsidP="00E47ADC">
      <w:pPr>
        <w:spacing w:after="0" w:line="240" w:lineRule="auto"/>
        <w:jc w:val="both"/>
        <w:rPr>
          <w:rFonts w:ascii="Times New Roman" w:eastAsia="Times New Roman" w:hAnsi="Times New Roman" w:cs="Times New Roman"/>
          <w:color w:val="000000"/>
          <w:lang w:eastAsia="ru-RU"/>
        </w:rPr>
      </w:pPr>
      <w:r w:rsidRPr="00E07F11">
        <w:rPr>
          <w:rFonts w:ascii="Times New Roman" w:eastAsia="Times New Roman" w:hAnsi="Times New Roman" w:cs="Times New Roman"/>
          <w:color w:val="000000"/>
          <w:lang w:eastAsia="ru-RU"/>
        </w:rPr>
        <w:t>*проведена оценка недвижимого имущества, земельных участков, автотранспорта и доли в уставном капитале организации, которая завершена 30 октября 2017 г.</w:t>
      </w:r>
    </w:p>
    <w:p w:rsidR="00E07F11" w:rsidRPr="00E07F11" w:rsidRDefault="00E07F11" w:rsidP="00E47ADC">
      <w:pPr>
        <w:spacing w:after="0" w:line="240" w:lineRule="auto"/>
        <w:jc w:val="both"/>
        <w:rPr>
          <w:rFonts w:ascii="Times New Roman" w:eastAsia="Times New Roman" w:hAnsi="Times New Roman" w:cs="Times New Roman"/>
          <w:color w:val="000000"/>
          <w:lang w:eastAsia="ru-RU"/>
        </w:rPr>
      </w:pPr>
      <w:r w:rsidRPr="00E07F11">
        <w:rPr>
          <w:rFonts w:ascii="Times New Roman" w:eastAsia="Times New Roman" w:hAnsi="Times New Roman" w:cs="Times New Roman"/>
          <w:color w:val="000000"/>
          <w:lang w:eastAsia="ru-RU"/>
        </w:rPr>
        <w:t>**в том числе требования к ПАО «Тимер Банк» по корреспондентскому счету 302 750 тыс. руб., требования к ПАО «ТАТФОНДБАНК» по закрытым корреспондентским счетам 223 946 тыс. руб.</w:t>
      </w:r>
    </w:p>
    <w:p w:rsidR="00D15D8A" w:rsidRPr="00E47ADC" w:rsidRDefault="00D15D8A" w:rsidP="00E47ADC">
      <w:pPr>
        <w:spacing w:after="0" w:line="240" w:lineRule="auto"/>
        <w:rPr>
          <w:rFonts w:ascii="Times New Roman" w:hAnsi="Times New Roman" w:cs="Times New Roman"/>
        </w:rPr>
      </w:pPr>
    </w:p>
    <w:sectPr w:rsidR="00D15D8A" w:rsidRPr="00E47ADC" w:rsidSect="00E47ADC">
      <w:footerReference w:type="default" r:id="rId7"/>
      <w:pgSz w:w="11906" w:h="16838"/>
      <w:pgMar w:top="28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1FA" w:rsidRDefault="00E931FA" w:rsidP="00E47ADC">
      <w:pPr>
        <w:spacing w:after="0" w:line="240" w:lineRule="auto"/>
      </w:pPr>
      <w:r>
        <w:separator/>
      </w:r>
    </w:p>
  </w:endnote>
  <w:endnote w:type="continuationSeparator" w:id="0">
    <w:p w:rsidR="00E931FA" w:rsidRDefault="00E931FA" w:rsidP="00E47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950926"/>
      <w:docPartObj>
        <w:docPartGallery w:val="Page Numbers (Bottom of Page)"/>
        <w:docPartUnique/>
      </w:docPartObj>
    </w:sdtPr>
    <w:sdtContent>
      <w:p w:rsidR="00E47ADC" w:rsidRDefault="00E47ADC">
        <w:pPr>
          <w:pStyle w:val="a6"/>
          <w:jc w:val="right"/>
        </w:pPr>
        <w:r>
          <w:fldChar w:fldCharType="begin"/>
        </w:r>
        <w:r>
          <w:instrText>PAGE   \* MERGEFORMAT</w:instrText>
        </w:r>
        <w:r>
          <w:fldChar w:fldCharType="separate"/>
        </w:r>
        <w:r>
          <w:rPr>
            <w:noProof/>
          </w:rPr>
          <w:t>2</w:t>
        </w:r>
        <w:r>
          <w:fldChar w:fldCharType="end"/>
        </w:r>
      </w:p>
    </w:sdtContent>
  </w:sdt>
  <w:p w:rsidR="00E47ADC" w:rsidRDefault="00E47AD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1FA" w:rsidRDefault="00E931FA" w:rsidP="00E47ADC">
      <w:pPr>
        <w:spacing w:after="0" w:line="240" w:lineRule="auto"/>
      </w:pPr>
      <w:r>
        <w:separator/>
      </w:r>
    </w:p>
  </w:footnote>
  <w:footnote w:type="continuationSeparator" w:id="0">
    <w:p w:rsidR="00E931FA" w:rsidRDefault="00E931FA" w:rsidP="00E47A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11"/>
    <w:rsid w:val="00D15D8A"/>
    <w:rsid w:val="00E07F11"/>
    <w:rsid w:val="00E47ADC"/>
    <w:rsid w:val="00E93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07F11"/>
    <w:pPr>
      <w:spacing w:before="100" w:beforeAutospacing="1" w:after="100" w:afterAutospacing="1" w:line="240" w:lineRule="auto"/>
      <w:outlineLvl w:val="0"/>
    </w:pPr>
    <w:rPr>
      <w:rFonts w:ascii="Times New Roman" w:eastAsia="Times New Roman" w:hAnsi="Times New Roman" w:cs="Times New Roman"/>
      <w:b/>
      <w:bCs/>
      <w:color w:val="000000"/>
      <w:kern w:val="36"/>
      <w:sz w:val="44"/>
      <w:szCs w:val="4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7F11"/>
    <w:rPr>
      <w:rFonts w:ascii="Times New Roman" w:eastAsia="Times New Roman" w:hAnsi="Times New Roman" w:cs="Times New Roman"/>
      <w:b/>
      <w:bCs/>
      <w:color w:val="000000"/>
      <w:kern w:val="36"/>
      <w:sz w:val="44"/>
      <w:szCs w:val="44"/>
      <w:lang w:eastAsia="ru-RU"/>
    </w:rPr>
  </w:style>
  <w:style w:type="paragraph" w:styleId="a3">
    <w:name w:val="Normal (Web)"/>
    <w:basedOn w:val="a"/>
    <w:uiPriority w:val="99"/>
    <w:semiHidden/>
    <w:unhideWhenUsed/>
    <w:rsid w:val="00E07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
    <w:name w:val="gray"/>
    <w:basedOn w:val="a"/>
    <w:rsid w:val="00E07F11"/>
    <w:pPr>
      <w:spacing w:before="100" w:beforeAutospacing="1" w:after="100" w:afterAutospacing="1" w:line="240" w:lineRule="auto"/>
    </w:pPr>
    <w:rPr>
      <w:rFonts w:ascii="Times New Roman" w:eastAsia="Times New Roman" w:hAnsi="Times New Roman" w:cs="Times New Roman"/>
      <w:color w:val="666666"/>
      <w:sz w:val="24"/>
      <w:szCs w:val="24"/>
      <w:lang w:eastAsia="ru-RU"/>
    </w:rPr>
  </w:style>
  <w:style w:type="paragraph" w:styleId="a4">
    <w:name w:val="header"/>
    <w:basedOn w:val="a"/>
    <w:link w:val="a5"/>
    <w:uiPriority w:val="99"/>
    <w:unhideWhenUsed/>
    <w:rsid w:val="00E47AD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47ADC"/>
  </w:style>
  <w:style w:type="paragraph" w:styleId="a6">
    <w:name w:val="footer"/>
    <w:basedOn w:val="a"/>
    <w:link w:val="a7"/>
    <w:uiPriority w:val="99"/>
    <w:unhideWhenUsed/>
    <w:rsid w:val="00E47AD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47A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07F11"/>
    <w:pPr>
      <w:spacing w:before="100" w:beforeAutospacing="1" w:after="100" w:afterAutospacing="1" w:line="240" w:lineRule="auto"/>
      <w:outlineLvl w:val="0"/>
    </w:pPr>
    <w:rPr>
      <w:rFonts w:ascii="Times New Roman" w:eastAsia="Times New Roman" w:hAnsi="Times New Roman" w:cs="Times New Roman"/>
      <w:b/>
      <w:bCs/>
      <w:color w:val="000000"/>
      <w:kern w:val="36"/>
      <w:sz w:val="44"/>
      <w:szCs w:val="4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7F11"/>
    <w:rPr>
      <w:rFonts w:ascii="Times New Roman" w:eastAsia="Times New Roman" w:hAnsi="Times New Roman" w:cs="Times New Roman"/>
      <w:b/>
      <w:bCs/>
      <w:color w:val="000000"/>
      <w:kern w:val="36"/>
      <w:sz w:val="44"/>
      <w:szCs w:val="44"/>
      <w:lang w:eastAsia="ru-RU"/>
    </w:rPr>
  </w:style>
  <w:style w:type="paragraph" w:styleId="a3">
    <w:name w:val="Normal (Web)"/>
    <w:basedOn w:val="a"/>
    <w:uiPriority w:val="99"/>
    <w:semiHidden/>
    <w:unhideWhenUsed/>
    <w:rsid w:val="00E07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
    <w:name w:val="gray"/>
    <w:basedOn w:val="a"/>
    <w:rsid w:val="00E07F11"/>
    <w:pPr>
      <w:spacing w:before="100" w:beforeAutospacing="1" w:after="100" w:afterAutospacing="1" w:line="240" w:lineRule="auto"/>
    </w:pPr>
    <w:rPr>
      <w:rFonts w:ascii="Times New Roman" w:eastAsia="Times New Roman" w:hAnsi="Times New Roman" w:cs="Times New Roman"/>
      <w:color w:val="666666"/>
      <w:sz w:val="24"/>
      <w:szCs w:val="24"/>
      <w:lang w:eastAsia="ru-RU"/>
    </w:rPr>
  </w:style>
  <w:style w:type="paragraph" w:styleId="a4">
    <w:name w:val="header"/>
    <w:basedOn w:val="a"/>
    <w:link w:val="a5"/>
    <w:uiPriority w:val="99"/>
    <w:unhideWhenUsed/>
    <w:rsid w:val="00E47AD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47ADC"/>
  </w:style>
  <w:style w:type="paragraph" w:styleId="a6">
    <w:name w:val="footer"/>
    <w:basedOn w:val="a"/>
    <w:link w:val="a7"/>
    <w:uiPriority w:val="99"/>
    <w:unhideWhenUsed/>
    <w:rsid w:val="00E47AD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47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494405">
      <w:bodyDiv w:val="1"/>
      <w:marLeft w:val="0"/>
      <w:marRight w:val="0"/>
      <w:marTop w:val="0"/>
      <w:marBottom w:val="0"/>
      <w:divBdr>
        <w:top w:val="none" w:sz="0" w:space="0" w:color="auto"/>
        <w:left w:val="none" w:sz="0" w:space="0" w:color="auto"/>
        <w:bottom w:val="none" w:sz="0" w:space="0" w:color="auto"/>
        <w:right w:val="none" w:sz="0" w:space="0" w:color="auto"/>
      </w:divBdr>
      <w:divsChild>
        <w:div w:id="1581938455">
          <w:marLeft w:val="0"/>
          <w:marRight w:val="0"/>
          <w:marTop w:val="0"/>
          <w:marBottom w:val="0"/>
          <w:divBdr>
            <w:top w:val="none" w:sz="0" w:space="0" w:color="auto"/>
            <w:left w:val="none" w:sz="0" w:space="0" w:color="auto"/>
            <w:bottom w:val="none" w:sz="0" w:space="0" w:color="auto"/>
            <w:right w:val="none" w:sz="0" w:space="0" w:color="auto"/>
          </w:divBdr>
          <w:divsChild>
            <w:div w:id="1233002224">
              <w:marLeft w:val="0"/>
              <w:marRight w:val="0"/>
              <w:marTop w:val="0"/>
              <w:marBottom w:val="0"/>
              <w:divBdr>
                <w:top w:val="single" w:sz="24" w:space="8" w:color="486BAD"/>
                <w:left w:val="single" w:sz="24" w:space="8" w:color="486BAD"/>
                <w:bottom w:val="single" w:sz="24" w:space="0" w:color="486BAD"/>
                <w:right w:val="single" w:sz="24" w:space="8" w:color="486BAD"/>
              </w:divBdr>
              <w:divsChild>
                <w:div w:id="1464225459">
                  <w:marLeft w:val="1"/>
                  <w:marRight w:val="1"/>
                  <w:marTop w:val="0"/>
                  <w:marBottom w:val="750"/>
                  <w:divBdr>
                    <w:top w:val="none" w:sz="0" w:space="0" w:color="auto"/>
                    <w:left w:val="none" w:sz="0" w:space="0" w:color="auto"/>
                    <w:bottom w:val="none" w:sz="0" w:space="0" w:color="auto"/>
                    <w:right w:val="none" w:sz="0" w:space="0" w:color="auto"/>
                  </w:divBdr>
                  <w:divsChild>
                    <w:div w:id="59463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1146</Words>
  <Characters>6533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Прокопышина Елена Анатольевна</dc:creator>
  <cp:lastModifiedBy>Прокопышина Елена Анатольевна</cp:lastModifiedBy>
  <cp:revision>1</cp:revision>
  <dcterms:created xsi:type="dcterms:W3CDTF">2017-12-05T09:15:00Z</dcterms:created>
  <dcterms:modified xsi:type="dcterms:W3CDTF">2017-12-05T09:43:00Z</dcterms:modified>
</cp:coreProperties>
</file>