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CB" w:rsidRDefault="005C67CB" w:rsidP="005C67CB">
      <w:pPr>
        <w:spacing w:after="0" w:line="240" w:lineRule="auto"/>
        <w:rPr>
          <w:rFonts w:ascii="Times New Roman" w:eastAsia="Times New Roman" w:hAnsi="Times New Roman" w:cs="Times New Roman"/>
          <w:b/>
          <w:color w:val="0070C0"/>
          <w:sz w:val="16"/>
          <w:szCs w:val="16"/>
          <w:lang w:eastAsia="ru-RU"/>
        </w:rPr>
      </w:pPr>
      <w:bookmarkStart w:id="0" w:name="_GoBack"/>
      <w:bookmarkEnd w:id="0"/>
      <w:r w:rsidRPr="005C67CB">
        <w:rPr>
          <w:rFonts w:ascii="Times New Roman" w:eastAsia="Times New Roman" w:hAnsi="Times New Roman" w:cs="Times New Roman"/>
          <w:b/>
          <w:color w:val="0070C0"/>
          <w:sz w:val="16"/>
          <w:szCs w:val="16"/>
          <w:lang w:eastAsia="ru-RU"/>
        </w:rPr>
        <w:t xml:space="preserve">Опубликовано на сайте ГК «АСВ» </w:t>
      </w:r>
      <w:r w:rsidRPr="005C67CB">
        <w:rPr>
          <w:rFonts w:ascii="Times New Roman" w:eastAsia="Times New Roman" w:hAnsi="Times New Roman" w:cs="Times New Roman"/>
          <w:b/>
          <w:color w:val="0070C0"/>
          <w:sz w:val="16"/>
          <w:szCs w:val="16"/>
          <w:lang w:eastAsia="ru-RU"/>
        </w:rPr>
        <w:t>14.03.2019</w:t>
      </w:r>
    </w:p>
    <w:p w:rsidR="005C67CB" w:rsidRPr="005C67CB" w:rsidRDefault="005C67CB" w:rsidP="005C67CB">
      <w:pPr>
        <w:spacing w:after="0" w:line="240" w:lineRule="auto"/>
        <w:rPr>
          <w:rFonts w:ascii="Times New Roman" w:eastAsia="Times New Roman" w:hAnsi="Times New Roman" w:cs="Times New Roman"/>
          <w:b/>
          <w:color w:val="0070C0"/>
          <w:sz w:val="16"/>
          <w:szCs w:val="16"/>
          <w:lang w:eastAsia="ru-RU"/>
        </w:rPr>
      </w:pPr>
    </w:p>
    <w:p w:rsidR="005C67CB" w:rsidRDefault="005C67CB" w:rsidP="005C67CB">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5C67CB">
        <w:rPr>
          <w:rFonts w:ascii="Times New Roman" w:eastAsia="Times New Roman" w:hAnsi="Times New Roman" w:cs="Times New Roman"/>
          <w:b/>
          <w:bCs/>
          <w:color w:val="000000"/>
          <w:kern w:val="36"/>
          <w:sz w:val="28"/>
          <w:szCs w:val="28"/>
          <w:lang w:eastAsia="ru-RU"/>
        </w:rPr>
        <w:t xml:space="preserve">Сведения о ходе конкурсного производства в отношении </w:t>
      </w:r>
    </w:p>
    <w:p w:rsidR="005C67CB" w:rsidRPr="005C67CB" w:rsidRDefault="005C67CB" w:rsidP="005C67CB">
      <w:pPr>
        <w:spacing w:after="0" w:line="240" w:lineRule="auto"/>
        <w:jc w:val="center"/>
        <w:outlineLvl w:val="0"/>
        <w:rPr>
          <w:rFonts w:ascii="Times New Roman" w:eastAsia="Times New Roman" w:hAnsi="Times New Roman" w:cs="Times New Roman"/>
          <w:b/>
          <w:color w:val="000000"/>
          <w:sz w:val="28"/>
          <w:szCs w:val="28"/>
          <w:lang w:eastAsia="ru-RU"/>
        </w:rPr>
      </w:pPr>
      <w:r w:rsidRPr="005C67CB">
        <w:rPr>
          <w:rFonts w:ascii="Times New Roman" w:eastAsia="Times New Roman" w:hAnsi="Times New Roman" w:cs="Times New Roman"/>
          <w:b/>
          <w:color w:val="000000"/>
          <w:sz w:val="28"/>
          <w:szCs w:val="28"/>
          <w:lang w:eastAsia="ru-RU"/>
        </w:rPr>
        <w:t>ПАО БАНК «ЮГРА»</w:t>
      </w:r>
    </w:p>
    <w:p w:rsidR="005C67CB" w:rsidRPr="005C67CB" w:rsidRDefault="005C67CB" w:rsidP="005C67CB">
      <w:pPr>
        <w:spacing w:after="0" w:line="240" w:lineRule="auto"/>
        <w:outlineLvl w:val="0"/>
        <w:rPr>
          <w:rFonts w:ascii="Times New Roman" w:eastAsia="Times New Roman" w:hAnsi="Times New Roman" w:cs="Times New Roman"/>
          <w:b/>
          <w:bCs/>
          <w:color w:val="000000"/>
          <w:kern w:val="36"/>
          <w:sz w:val="26"/>
          <w:szCs w:val="26"/>
          <w:lang w:eastAsia="ru-RU"/>
        </w:rPr>
      </w:pP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Решением Арбитражного суда г. Москвы от 2 октября 2018 года (дата объявления резолютивной части – 25 сентября 2018 года) по делу № А40-145500/17-124-202 Б ПУБЛИЧНОЕ АКЦИОНЕРНОЕ ОБЩЕСТВО БАНК «ЮГРА» (ПАО БАНК «ЮГРА»), зарегистрированное по адресу: 101000, г. Москва, Лубянский проезд, д. 27/1, стр. 1, ОГРН 1028600001770, ИНН 8605000586, признано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Банком не назначено.</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Адрес для направления почтовой корреспонденции, в том числе требований кредиторов: 127055, г. Москва, ул. Лесная, д. 59, стр. 2.</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года № 127-ФЗ «О несостоятельности (банкротстве)» (далее – Федеральный закон) Агентство публикует сведения о ходе конкурсного производства в отношении Банка. Последняя информация о ходе конкурсного производства размещена 25 октября 2018 года на сайте Агентства в сети Интернет и включена в Единый федеральный реестр сведений о банкротстве (далее – ЕФРСБ).</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В период с 14 декабря 2018 года по 26 апреля 2019 года конкурсным управляющим проводятся расчеты с кредиторами первой очереди, чьи требования включены в реестр требований кредиторов Банка, в размере 3,27% суммы установленных требований. По состоянию на 1 февраля 2019 года на расчеты с кредиторами, чьи требования включены в первую очередь реестра требований кредиторов Банка, направлены денежные средства в размере 6 116 738 тыс. руб.</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Конкурсным управляющим 25 декабря 2018 года завершена инвентаризация имущества Банка, проведенная по состоянию на дату открытия процедуры конкурсного производства (25 сентября 2018 года), итоги которой размещены на сайте Агентства в сети Интернет и включены в ЕФРСБ 28 декабря 2018 года. По результатам инвентаризации выявлена недостача имущества Банка на сумму 14 591 287 тыс. руб. Также в ходе инвентаризации выявлено имущество (банковское оборудование, оргтехника, мебель, автомобили, объекты недвижимого имущества) в количестве 35 139 единиц, неучтенное на балансовых счетах Банка, из которых 7 449 единиц – непригодно для дальнейшей эксплуатации и реализации.</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За период с 25 сентября 2018 года по 31 января 2019 года списание имущества Банка не осуществлялось, реализация не проводилась.</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 xml:space="preserve">Конкурсным управляющим организована работа по взысканию задолженности с должников Банка в судебном порядке. По состоянию на 1 февраля 2019 года в суды подано 155 исковых заявлений на общую сумму 272 968 037 тыс. руб. (включая заявления о включении требований Банка в реестры требований кредиторов несостоятельных должников), из которых удовлетворено в полном объеме и частично 82 исковых заявления на сумму 148 996 162 тыс. руб., остальные исковые заявления находятся в судах на рассмотрении. </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 xml:space="preserve">На основании судебных актов службой судебных приставов возбуждено 141 исполнительное производство о взыскании в пользу Банка задолженности в размере 66 459 578 тыс. руб., из которых 21 на сумму 5 900 980 тыс. руб. окончено </w:t>
      </w:r>
      <w:r w:rsidRPr="005C67CB">
        <w:rPr>
          <w:rFonts w:ascii="Times New Roman" w:eastAsia="Times New Roman" w:hAnsi="Times New Roman" w:cs="Times New Roman"/>
          <w:color w:val="000000"/>
          <w:sz w:val="26"/>
          <w:szCs w:val="26"/>
          <w:lang w:eastAsia="ru-RU"/>
        </w:rPr>
        <w:lastRenderedPageBreak/>
        <w:t>в соответствии с Федеральным законом от 2 октября 2007 года № 229-ФЗ «Об исполнительном производстве», в том числе 20 на сумму 5 900 940 тыс. руб. завершены в связи с невозможностью взыскания.</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В результате судебной работы по состоянию на 1 февраля 2019 года в конкурсную массу поступили денежные средства в размере 63 821 тыс. руб.</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По результатам проверки деятельности Банка на предмет выявления сделок, имеющих в соответствии с Федеральным законом признаки недействительности, временной администрацией по управлению кредитной организацией выявлены сделки, заключенные Банком в ущерб его собственным интересам и интересам его кредиторов.</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В рамках оспаривания выявленных сделок по состоянию на 1 февраля 2019 года в Арбитражный суд г. Москвы подано 120 заявлений о признании сделок недействительными и применении последствий их недействительности на общую сумму 9 041 204 тыс. руб., из которых отказано в удовлетворении или прекращено производство по 2 заявлениям с требованиями неимущественного характера, оставлено без рассмотрения 1 заявление с требованиями неимущественного характера, остальные заявления находятся в суде на рассмотрении.</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Конкурсным управляющим осуществляется проверка обстоятельств банкротства Банка, по результатам которой, в случае обнаружения соответствующих обстоятельств, будут приняты меры по привлечению к гражданско-правовой и/или уголовной ответственности лиц, виновных в банкротстве Банка.</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11 ноября 2017 года Банком России в МВД России и СК России направлено заявление по ст. 159, 160, 201 и 196 УК РФ по факту предоставления кредитных средств юридическому лицу. По результатам рассмотрения заявления УЭБиПК ГУ МВД России по г. Москве неоднократно (11 декабря 2017 года, 13 марта, 17 апреля, 10 мая 2018 года) выносились постановления об отказе в возбуждении уголовного дела, которые впоследствии отменялись. 22 мая 2018 года вынесено очередное постановление об отказе в возбуждении уголовного дела. Вместе с тем, 6 июня 2018 года СУ УВД по ЦАО ГУ МВД России по г. Москве вынесено постановление об отказе в возбуждении уголовного дела.</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16 марта 2018 года Банком России в МВД России и СК России направлено заявление по ст. 159, 160, 201 и 196 УК РФ по фактам хищения имущества Банка под видом выдачи кредитов юридическим лицам, заключения соглашений о переводе ссудной задолженности на неплатежеспособных юридических лиц, заключения форвардных контрактов по купле-продаже иностранной валюты за рубли, а также возможного преднамеренного банкротства Банка.</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18 июля 2018 года Банком России в МВД России направлено заявление по фактам хищения имущества Банка под видом выдачи кредитов юридическим лицам.</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Указанные заявления приобщены к материалу проверки по заявлению Банка России от 11 ноября 2017 года.</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Кроме того, временной администрацией по управлению Банком 11 сентября и 24 октября 2017 года, 22 февраля и 22 мая 2018 года направлены заявления в СД МВД России по фактам хищения имущества Банка.</w:t>
      </w:r>
    </w:p>
    <w:p w:rsidR="005C67CB" w:rsidRPr="005C67CB" w:rsidRDefault="005C67CB" w:rsidP="005C67CB">
      <w:pPr>
        <w:spacing w:after="0" w:line="240" w:lineRule="auto"/>
        <w:ind w:firstLine="709"/>
        <w:jc w:val="both"/>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color w:val="000000"/>
          <w:sz w:val="26"/>
          <w:szCs w:val="26"/>
          <w:lang w:eastAsia="ru-RU"/>
        </w:rPr>
        <w:t>В соответствии с п. 7 ст. 189.75 Федерального закона Агентство публикует сведения о стоимости нереализованного имущества Банка и об исполнении сметы текущих расходов.</w:t>
      </w:r>
    </w:p>
    <w:p w:rsidR="005C67CB" w:rsidRDefault="005C67CB" w:rsidP="005C67CB">
      <w:pPr>
        <w:spacing w:after="0" w:line="240" w:lineRule="auto"/>
        <w:jc w:val="center"/>
        <w:rPr>
          <w:rFonts w:ascii="Times New Roman" w:eastAsia="Times New Roman" w:hAnsi="Times New Roman" w:cs="Times New Roman"/>
          <w:b/>
          <w:bCs/>
          <w:color w:val="000000"/>
          <w:sz w:val="26"/>
          <w:szCs w:val="26"/>
          <w:lang w:eastAsia="ru-RU"/>
        </w:rPr>
      </w:pPr>
    </w:p>
    <w:p w:rsidR="005C67CB" w:rsidRDefault="005C67CB" w:rsidP="005C67CB">
      <w:pPr>
        <w:spacing w:after="0" w:line="240" w:lineRule="auto"/>
        <w:jc w:val="center"/>
        <w:rPr>
          <w:rFonts w:ascii="Times New Roman" w:eastAsia="Times New Roman" w:hAnsi="Times New Roman" w:cs="Times New Roman"/>
          <w:b/>
          <w:bCs/>
          <w:color w:val="000000"/>
          <w:sz w:val="26"/>
          <w:szCs w:val="26"/>
          <w:lang w:eastAsia="ru-RU"/>
        </w:rPr>
      </w:pPr>
    </w:p>
    <w:p w:rsidR="005C67CB" w:rsidRDefault="005C67CB" w:rsidP="005C67CB">
      <w:pPr>
        <w:spacing w:after="0" w:line="240" w:lineRule="auto"/>
        <w:jc w:val="center"/>
        <w:rPr>
          <w:rFonts w:ascii="Times New Roman" w:eastAsia="Times New Roman" w:hAnsi="Times New Roman" w:cs="Times New Roman"/>
          <w:b/>
          <w:bCs/>
          <w:color w:val="000000"/>
          <w:sz w:val="26"/>
          <w:szCs w:val="26"/>
          <w:lang w:eastAsia="ru-RU"/>
        </w:rPr>
      </w:pPr>
    </w:p>
    <w:p w:rsidR="005C67CB" w:rsidRPr="005C67CB" w:rsidRDefault="005C67CB" w:rsidP="005C67CB">
      <w:pPr>
        <w:spacing w:after="0" w:line="240" w:lineRule="auto"/>
        <w:jc w:val="center"/>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b/>
          <w:bCs/>
          <w:color w:val="000000"/>
          <w:sz w:val="26"/>
          <w:szCs w:val="26"/>
          <w:lang w:eastAsia="ru-RU"/>
        </w:rPr>
        <w:t xml:space="preserve">Сведения о стоимости нереализованного имущества </w:t>
      </w:r>
    </w:p>
    <w:p w:rsidR="005C67CB" w:rsidRPr="005C67CB" w:rsidRDefault="005C67CB" w:rsidP="005C67CB">
      <w:pPr>
        <w:spacing w:after="0" w:line="240" w:lineRule="auto"/>
        <w:jc w:val="center"/>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b/>
          <w:bCs/>
          <w:color w:val="000000"/>
          <w:sz w:val="26"/>
          <w:szCs w:val="26"/>
          <w:lang w:eastAsia="ru-RU"/>
        </w:rPr>
        <w:t>ПАО БАНК «ЮГРА» по состоянию на 1 февраля 2019 года</w:t>
      </w:r>
    </w:p>
    <w:p w:rsidR="005C67CB" w:rsidRPr="005C67CB" w:rsidRDefault="005C67CB" w:rsidP="005C67CB">
      <w:pPr>
        <w:spacing w:after="0" w:line="240" w:lineRule="auto"/>
        <w:jc w:val="right"/>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96"/>
        <w:gridCol w:w="4096"/>
        <w:gridCol w:w="2411"/>
        <w:gridCol w:w="2412"/>
      </w:tblGrid>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 п/п</w:t>
            </w: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Наименование имущества (дебитора)</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Балансовая стоимость</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Оценочная стоимость</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Ценные бумаги (в т.ч. доли участия в УК)</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24 699 066 *</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4 135 691**</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Кредиты предприятиям и организациям</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280 249 312***</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оценка не проводилась</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Кредиты физическим лицам</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337 852***</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оценка не проводилась</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Основные средства и хозяйственные затраты (за исключением амортизации)</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676 278</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475 768 ** (оценка недвижимого имущества и транспортных средств)</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Прочие активы</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14 419 841 ****</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оценка не проводилась</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p>
        </w:tc>
        <w:tc>
          <w:tcPr>
            <w:tcW w:w="2109"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Итого</w:t>
            </w:r>
          </w:p>
        </w:tc>
        <w:tc>
          <w:tcPr>
            <w:tcW w:w="123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320 382 349</w:t>
            </w:r>
          </w:p>
        </w:tc>
        <w:tc>
          <w:tcPr>
            <w:tcW w:w="1223"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4 611 459</w:t>
            </w:r>
          </w:p>
        </w:tc>
      </w:tr>
    </w:tbl>
    <w:p w:rsidR="005C67CB" w:rsidRPr="005C67CB" w:rsidRDefault="005C67CB" w:rsidP="005C67CB">
      <w:pPr>
        <w:spacing w:after="0" w:line="240" w:lineRule="auto"/>
        <w:jc w:val="both"/>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 включая неисполненные форвардные контракты по купле-продаже иностранной валюты – 14 772 296 тыс. руб.</w:t>
      </w:r>
    </w:p>
    <w:p w:rsidR="005C67CB" w:rsidRPr="005C67CB" w:rsidRDefault="005C67CB" w:rsidP="005C67CB">
      <w:pPr>
        <w:spacing w:after="0" w:line="240" w:lineRule="auto"/>
        <w:jc w:val="both"/>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 xml:space="preserve">** </w:t>
      </w:r>
      <w:r w:rsidRPr="005C67CB">
        <w:rPr>
          <w:rFonts w:ascii="Times New Roman" w:eastAsia="Times New Roman" w:hAnsi="Times New Roman" w:cs="Times New Roman"/>
          <w:color w:val="000000"/>
          <w:lang w:eastAsia="ru-RU"/>
        </w:rPr>
        <w:t>оценка была инициирована в период деятельности временной администрации по управлению Банком и завершена в период конкурсного производства в отношении Банка</w:t>
      </w:r>
    </w:p>
    <w:p w:rsidR="005C67CB" w:rsidRPr="005C67CB" w:rsidRDefault="005C67CB" w:rsidP="005C67CB">
      <w:pPr>
        <w:spacing w:after="0" w:line="240" w:lineRule="auto"/>
        <w:jc w:val="both"/>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w:t>
      </w:r>
      <w:r w:rsidRPr="005C67CB">
        <w:rPr>
          <w:rFonts w:ascii="Times New Roman" w:eastAsia="Times New Roman" w:hAnsi="Times New Roman" w:cs="Times New Roman"/>
          <w:color w:val="000000"/>
          <w:lang w:eastAsia="ru-RU"/>
        </w:rPr>
        <w:t xml:space="preserve"> в связи со вступлением в силу с 1 января 2019 года ряда нормативных актов Банка России по бухгалтерскому учету на балансовых счетах Банка отражены требования по начисленным процентам в сумме 27 089 367 тыс. руб., которые ранее учитывались на внебалансовых счетах по учету неполученных процентных доходов. Поступление денежных средств от взыскания (реализации) данных активов в размере 27 089 367 тыс. руб. представляется маловероятным</w:t>
      </w:r>
    </w:p>
    <w:p w:rsidR="005C67CB" w:rsidRPr="005C67CB" w:rsidRDefault="005C67CB" w:rsidP="005C67CB">
      <w:pPr>
        <w:spacing w:after="0" w:line="240" w:lineRule="auto"/>
        <w:jc w:val="both"/>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 xml:space="preserve">**** </w:t>
      </w:r>
      <w:r w:rsidRPr="005C67CB">
        <w:rPr>
          <w:rFonts w:ascii="Times New Roman" w:eastAsia="Times New Roman" w:hAnsi="Times New Roman" w:cs="Times New Roman"/>
          <w:color w:val="000000"/>
          <w:lang w:eastAsia="ru-RU"/>
        </w:rPr>
        <w:t>включая</w:t>
      </w:r>
      <w:r w:rsidRPr="005C67CB">
        <w:rPr>
          <w:rFonts w:ascii="Times New Roman" w:eastAsia="Times New Roman" w:hAnsi="Times New Roman" w:cs="Times New Roman"/>
          <w:b/>
          <w:bCs/>
          <w:color w:val="000000"/>
          <w:lang w:eastAsia="ru-RU"/>
        </w:rPr>
        <w:t xml:space="preserve"> </w:t>
      </w:r>
      <w:r w:rsidRPr="005C67CB">
        <w:rPr>
          <w:rFonts w:ascii="Times New Roman" w:eastAsia="Times New Roman" w:hAnsi="Times New Roman" w:cs="Times New Roman"/>
          <w:color w:val="000000"/>
          <w:lang w:eastAsia="ru-RU"/>
        </w:rPr>
        <w:t>требования по договорам уступки прав требования – 13 752 042 тыс. руб.</w:t>
      </w:r>
    </w:p>
    <w:p w:rsidR="005C67CB" w:rsidRDefault="005C67CB" w:rsidP="005C67CB">
      <w:pPr>
        <w:spacing w:after="0" w:line="240" w:lineRule="auto"/>
        <w:jc w:val="center"/>
        <w:rPr>
          <w:rFonts w:ascii="Times New Roman" w:eastAsia="Times New Roman" w:hAnsi="Times New Roman" w:cs="Times New Roman"/>
          <w:b/>
          <w:bCs/>
          <w:color w:val="000000"/>
          <w:sz w:val="26"/>
          <w:szCs w:val="26"/>
          <w:lang w:eastAsia="ru-RU"/>
        </w:rPr>
      </w:pPr>
    </w:p>
    <w:p w:rsidR="005C67CB" w:rsidRDefault="005C67CB" w:rsidP="005C67CB">
      <w:pPr>
        <w:spacing w:after="0" w:line="240" w:lineRule="auto"/>
        <w:jc w:val="center"/>
        <w:rPr>
          <w:rFonts w:ascii="Times New Roman" w:eastAsia="Times New Roman" w:hAnsi="Times New Roman" w:cs="Times New Roman"/>
          <w:b/>
          <w:bCs/>
          <w:color w:val="000000"/>
          <w:sz w:val="26"/>
          <w:szCs w:val="26"/>
          <w:lang w:eastAsia="ru-RU"/>
        </w:rPr>
      </w:pPr>
      <w:r w:rsidRPr="005C67CB">
        <w:rPr>
          <w:rFonts w:ascii="Times New Roman" w:eastAsia="Times New Roman" w:hAnsi="Times New Roman" w:cs="Times New Roman"/>
          <w:b/>
          <w:bCs/>
          <w:color w:val="000000"/>
          <w:sz w:val="26"/>
          <w:szCs w:val="26"/>
          <w:lang w:eastAsia="ru-RU"/>
        </w:rPr>
        <w:t xml:space="preserve">Отчет об исполнении сметы расходов (затрат) на проведение </w:t>
      </w:r>
    </w:p>
    <w:p w:rsidR="005C67CB" w:rsidRPr="005C67CB" w:rsidRDefault="005C67CB" w:rsidP="005C67CB">
      <w:pPr>
        <w:spacing w:after="0" w:line="240" w:lineRule="auto"/>
        <w:jc w:val="center"/>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b/>
          <w:bCs/>
          <w:color w:val="000000"/>
          <w:sz w:val="26"/>
          <w:szCs w:val="26"/>
          <w:lang w:eastAsia="ru-RU"/>
        </w:rPr>
        <w:t xml:space="preserve">конкурсного производства в отношении ПАО БАНК «ЮГРА» </w:t>
      </w:r>
    </w:p>
    <w:p w:rsidR="005C67CB" w:rsidRPr="005C67CB" w:rsidRDefault="005C67CB" w:rsidP="005C67CB">
      <w:pPr>
        <w:spacing w:after="0" w:line="240" w:lineRule="auto"/>
        <w:jc w:val="center"/>
        <w:rPr>
          <w:rFonts w:ascii="Times New Roman" w:eastAsia="Times New Roman" w:hAnsi="Times New Roman" w:cs="Times New Roman"/>
          <w:color w:val="000000"/>
          <w:sz w:val="26"/>
          <w:szCs w:val="26"/>
          <w:lang w:eastAsia="ru-RU"/>
        </w:rPr>
      </w:pPr>
      <w:r w:rsidRPr="005C67CB">
        <w:rPr>
          <w:rFonts w:ascii="Times New Roman" w:eastAsia="Times New Roman" w:hAnsi="Times New Roman" w:cs="Times New Roman"/>
          <w:b/>
          <w:bCs/>
          <w:color w:val="000000"/>
          <w:sz w:val="26"/>
          <w:szCs w:val="26"/>
          <w:lang w:eastAsia="ru-RU"/>
        </w:rPr>
        <w:t>за период с 25 сентября 2018 года по 31 января 2019 года</w:t>
      </w:r>
    </w:p>
    <w:p w:rsidR="005C67CB" w:rsidRPr="005C67CB" w:rsidRDefault="005C67CB" w:rsidP="005C67CB">
      <w:pPr>
        <w:spacing w:after="0" w:line="240" w:lineRule="auto"/>
        <w:jc w:val="right"/>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97"/>
        <w:gridCol w:w="4329"/>
        <w:gridCol w:w="1286"/>
        <w:gridCol w:w="1289"/>
        <w:gridCol w:w="2014"/>
      </w:tblGrid>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 п/п</w:t>
            </w:r>
          </w:p>
        </w:tc>
        <w:tc>
          <w:tcPr>
            <w:tcW w:w="2230"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Перечень расходов и затрат</w:t>
            </w:r>
          </w:p>
        </w:tc>
        <w:tc>
          <w:tcPr>
            <w:tcW w:w="648"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План</w:t>
            </w:r>
          </w:p>
        </w:tc>
        <w:tc>
          <w:tcPr>
            <w:tcW w:w="649"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Факт</w:t>
            </w:r>
          </w:p>
        </w:tc>
        <w:tc>
          <w:tcPr>
            <w:tcW w:w="1016"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Экономия (+) / перерасход (-)</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230"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Административно-хозяйственные расходы</w:t>
            </w:r>
          </w:p>
        </w:tc>
        <w:tc>
          <w:tcPr>
            <w:tcW w:w="648"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497 872</w:t>
            </w:r>
          </w:p>
        </w:tc>
        <w:tc>
          <w:tcPr>
            <w:tcW w:w="649"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326 072</w:t>
            </w:r>
          </w:p>
        </w:tc>
        <w:tc>
          <w:tcPr>
            <w:tcW w:w="1016"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+171 800</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230"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Расходы на содержание аппарата</w:t>
            </w:r>
          </w:p>
        </w:tc>
        <w:tc>
          <w:tcPr>
            <w:tcW w:w="648"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167 958</w:t>
            </w:r>
          </w:p>
        </w:tc>
        <w:tc>
          <w:tcPr>
            <w:tcW w:w="649"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115 854</w:t>
            </w:r>
          </w:p>
        </w:tc>
        <w:tc>
          <w:tcPr>
            <w:tcW w:w="1016"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+ 52 104</w:t>
            </w:r>
          </w:p>
        </w:tc>
      </w:tr>
      <w:tr w:rsidR="005C67CB" w:rsidRPr="005C67CB" w:rsidTr="005C67CB">
        <w:trPr>
          <w:tblCellSpacing w:w="20" w:type="dxa"/>
        </w:trPr>
        <w:tc>
          <w:tcPr>
            <w:tcW w:w="331"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p>
        </w:tc>
        <w:tc>
          <w:tcPr>
            <w:tcW w:w="2230" w:type="pct"/>
            <w:tcMar>
              <w:top w:w="75" w:type="dxa"/>
              <w:left w:w="75" w:type="dxa"/>
              <w:bottom w:w="75" w:type="dxa"/>
              <w:right w:w="75" w:type="dxa"/>
            </w:tcMar>
            <w:vAlign w:val="center"/>
            <w:hideMark/>
          </w:tcPr>
          <w:p w:rsidR="005C67CB" w:rsidRPr="005C67CB" w:rsidRDefault="005C67CB" w:rsidP="005C67CB">
            <w:pPr>
              <w:spacing w:after="0" w:line="240" w:lineRule="auto"/>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Итого</w:t>
            </w:r>
          </w:p>
        </w:tc>
        <w:tc>
          <w:tcPr>
            <w:tcW w:w="648"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668 830</w:t>
            </w:r>
          </w:p>
        </w:tc>
        <w:tc>
          <w:tcPr>
            <w:tcW w:w="649"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b/>
                <w:bCs/>
                <w:color w:val="000000"/>
                <w:lang w:eastAsia="ru-RU"/>
              </w:rPr>
              <w:t>441 926</w:t>
            </w:r>
          </w:p>
        </w:tc>
        <w:tc>
          <w:tcPr>
            <w:tcW w:w="1016" w:type="pct"/>
            <w:tcMar>
              <w:top w:w="75" w:type="dxa"/>
              <w:left w:w="75" w:type="dxa"/>
              <w:bottom w:w="75" w:type="dxa"/>
              <w:right w:w="75" w:type="dxa"/>
            </w:tcMar>
            <w:vAlign w:val="center"/>
            <w:hideMark/>
          </w:tcPr>
          <w:p w:rsidR="005C67CB" w:rsidRPr="005C67CB" w:rsidRDefault="005C67CB" w:rsidP="005C67CB">
            <w:pPr>
              <w:spacing w:after="0" w:line="240" w:lineRule="auto"/>
              <w:jc w:val="center"/>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+ 223 904 *****</w:t>
            </w:r>
          </w:p>
        </w:tc>
      </w:tr>
    </w:tbl>
    <w:p w:rsidR="005C67CB" w:rsidRPr="005C67CB" w:rsidRDefault="005C67CB" w:rsidP="005C67CB">
      <w:pPr>
        <w:spacing w:after="0" w:line="240" w:lineRule="auto"/>
        <w:jc w:val="both"/>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Примечание: сведения представляются нарастающим итогом с даты открытия конкурсного производства по отчетную дату.</w:t>
      </w:r>
    </w:p>
    <w:p w:rsidR="005C67CB" w:rsidRPr="005C67CB" w:rsidRDefault="005C67CB" w:rsidP="005C67CB">
      <w:pPr>
        <w:spacing w:after="0" w:line="240" w:lineRule="auto"/>
        <w:jc w:val="both"/>
        <w:rPr>
          <w:rFonts w:ascii="Times New Roman" w:eastAsia="Times New Roman" w:hAnsi="Times New Roman" w:cs="Times New Roman"/>
          <w:color w:val="000000"/>
          <w:lang w:eastAsia="ru-RU"/>
        </w:rPr>
      </w:pPr>
      <w:r w:rsidRPr="005C67CB">
        <w:rPr>
          <w:rFonts w:ascii="Times New Roman" w:eastAsia="Times New Roman" w:hAnsi="Times New Roman" w:cs="Times New Roman"/>
          <w:color w:val="000000"/>
          <w:lang w:eastAsia="ru-RU"/>
        </w:rPr>
        <w:t>***** Экономия обусловлена переносом планируемых расходов, непроизведенных в период действия смет, в сметы следующих кварталов, по причине несвоевременного предоставления контрагентами первичных документов, подтверждающих факт оказания услуг и несвоевременного обращения уволенных работников за пособиями, предусмотренными законодательством.</w:t>
      </w:r>
    </w:p>
    <w:p w:rsidR="001905D9" w:rsidRPr="005C67CB" w:rsidRDefault="001905D9" w:rsidP="005C67CB">
      <w:pPr>
        <w:spacing w:after="0" w:line="240" w:lineRule="auto"/>
        <w:rPr>
          <w:rFonts w:ascii="Times New Roman" w:hAnsi="Times New Roman" w:cs="Times New Roman"/>
          <w:sz w:val="26"/>
          <w:szCs w:val="26"/>
        </w:rPr>
      </w:pPr>
    </w:p>
    <w:sectPr w:rsidR="001905D9" w:rsidRPr="005C67CB" w:rsidSect="005C67CB">
      <w:footerReference w:type="default" r:id="rId7"/>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10D" w:rsidRDefault="00B2510D" w:rsidP="005C67CB">
      <w:pPr>
        <w:spacing w:after="0" w:line="240" w:lineRule="auto"/>
      </w:pPr>
      <w:r>
        <w:separator/>
      </w:r>
    </w:p>
  </w:endnote>
  <w:endnote w:type="continuationSeparator" w:id="0">
    <w:p w:rsidR="00B2510D" w:rsidRDefault="00B2510D" w:rsidP="005C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01273"/>
      <w:docPartObj>
        <w:docPartGallery w:val="Page Numbers (Bottom of Page)"/>
        <w:docPartUnique/>
      </w:docPartObj>
    </w:sdtPr>
    <w:sdtContent>
      <w:p w:rsidR="005C67CB" w:rsidRDefault="005C67CB">
        <w:pPr>
          <w:pStyle w:val="a6"/>
          <w:jc w:val="right"/>
        </w:pPr>
        <w:r>
          <w:fldChar w:fldCharType="begin"/>
        </w:r>
        <w:r>
          <w:instrText>PAGE   \* MERGEFORMAT</w:instrText>
        </w:r>
        <w:r>
          <w:fldChar w:fldCharType="separate"/>
        </w:r>
        <w:r>
          <w:rPr>
            <w:noProof/>
          </w:rPr>
          <w:t>2</w:t>
        </w:r>
        <w:r>
          <w:fldChar w:fldCharType="end"/>
        </w:r>
      </w:p>
    </w:sdtContent>
  </w:sdt>
  <w:p w:rsidR="005C67CB" w:rsidRDefault="005C67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10D" w:rsidRDefault="00B2510D" w:rsidP="005C67CB">
      <w:pPr>
        <w:spacing w:after="0" w:line="240" w:lineRule="auto"/>
      </w:pPr>
      <w:r>
        <w:separator/>
      </w:r>
    </w:p>
  </w:footnote>
  <w:footnote w:type="continuationSeparator" w:id="0">
    <w:p w:rsidR="00B2510D" w:rsidRDefault="00B2510D" w:rsidP="005C6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CB"/>
    <w:rsid w:val="001905D9"/>
    <w:rsid w:val="005C67CB"/>
    <w:rsid w:val="00B2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67CB"/>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7CB"/>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5C67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5C67CB"/>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5C67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67CB"/>
  </w:style>
  <w:style w:type="paragraph" w:styleId="a6">
    <w:name w:val="footer"/>
    <w:basedOn w:val="a"/>
    <w:link w:val="a7"/>
    <w:uiPriority w:val="99"/>
    <w:unhideWhenUsed/>
    <w:rsid w:val="005C67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6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67CB"/>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7CB"/>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5C67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5C67CB"/>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5C67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67CB"/>
  </w:style>
  <w:style w:type="paragraph" w:styleId="a6">
    <w:name w:val="footer"/>
    <w:basedOn w:val="a"/>
    <w:link w:val="a7"/>
    <w:uiPriority w:val="99"/>
    <w:unhideWhenUsed/>
    <w:rsid w:val="005C67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C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64077">
      <w:bodyDiv w:val="1"/>
      <w:marLeft w:val="0"/>
      <w:marRight w:val="0"/>
      <w:marTop w:val="0"/>
      <w:marBottom w:val="0"/>
      <w:divBdr>
        <w:top w:val="none" w:sz="0" w:space="0" w:color="auto"/>
        <w:left w:val="none" w:sz="0" w:space="0" w:color="auto"/>
        <w:bottom w:val="none" w:sz="0" w:space="0" w:color="auto"/>
        <w:right w:val="none" w:sz="0" w:space="0" w:color="auto"/>
      </w:divBdr>
      <w:divsChild>
        <w:div w:id="1368919119">
          <w:marLeft w:val="0"/>
          <w:marRight w:val="0"/>
          <w:marTop w:val="0"/>
          <w:marBottom w:val="0"/>
          <w:divBdr>
            <w:top w:val="none" w:sz="0" w:space="0" w:color="auto"/>
            <w:left w:val="none" w:sz="0" w:space="0" w:color="auto"/>
            <w:bottom w:val="none" w:sz="0" w:space="0" w:color="auto"/>
            <w:right w:val="none" w:sz="0" w:space="0" w:color="auto"/>
          </w:divBdr>
          <w:divsChild>
            <w:div w:id="76826801">
              <w:marLeft w:val="0"/>
              <w:marRight w:val="0"/>
              <w:marTop w:val="0"/>
              <w:marBottom w:val="0"/>
              <w:divBdr>
                <w:top w:val="single" w:sz="24" w:space="8" w:color="486BAD"/>
                <w:left w:val="single" w:sz="24" w:space="8" w:color="486BAD"/>
                <w:bottom w:val="single" w:sz="24" w:space="0" w:color="486BAD"/>
                <w:right w:val="single" w:sz="24" w:space="8" w:color="486BAD"/>
              </w:divBdr>
              <w:divsChild>
                <w:div w:id="473719958">
                  <w:marLeft w:val="1"/>
                  <w:marRight w:val="1"/>
                  <w:marTop w:val="0"/>
                  <w:marBottom w:val="750"/>
                  <w:divBdr>
                    <w:top w:val="none" w:sz="0" w:space="0" w:color="auto"/>
                    <w:left w:val="none" w:sz="0" w:space="0" w:color="auto"/>
                    <w:bottom w:val="none" w:sz="0" w:space="0" w:color="auto"/>
                    <w:right w:val="none" w:sz="0" w:space="0" w:color="auto"/>
                  </w:divBdr>
                  <w:divsChild>
                    <w:div w:id="21436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2019-03-19T11:07:00Z</dcterms:created>
  <dcterms:modified xsi:type="dcterms:W3CDTF">2019-03-19T11:11:00Z</dcterms:modified>
</cp:coreProperties>
</file>